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MPAMIV — Informationsaustausch zwischen der zuständigen Bundesoberbehörde und den zuständigen Landesbehörden</w:t>
      </w:r>
    </w:p>
    <w:p>
      <w:r>
        <w:rPr>
          <w:color w:val="555555"/>
          <w:sz w:val="18"/>
        </w:rPr>
        <w:t xml:space="preserve">Medizinprodukte-Anwendermelde- und Informationsverordnung</w:t>
      </w:r>
    </w:p>
    <w:p>
      <w:r>
        <w:rPr>
          <w:color w:val="555555"/>
          <w:sz w:val="18"/>
        </w:rPr>
        <w:t xml:space="preserve">Stand: 26.05.2021 (konsolidierte Textfassung, kein amtliches Inkrafttretensdatum)</w:t>
      </w:r>
    </w:p>
    <w:p>
      <w:r>
        <w:t xml:space="preserve">Über eingehende Meldungen von schwerwiegenden Vorkommnissen, mutmaßlichen schwerwiegenden Vorkommnissen, schwerwiegenden Gefahren und Sicherheitskorrekturmaßnahmen im Feld sowie über den Abschluss und das Ergebnis der durchgeführten Risikobewertung, einschließlich angeordneter Maßnahmen, informiert die zuständige Bundesoberbehörde über das Deutsche Medizinprodukteinformations- und Datenbanksystem nach § 86 des Medizinprodukterecht-Durchführungsgesetzes</w:t>
      </w:r>
    </w:p>
    <w:p>
      <w:pPr>
        <w:ind w:left="420"/>
      </w:pPr>
      <w:r>
        <w:t xml:space="preserve">1. die für den Sitz des Herstellers oder seines Bevollmächtigten zuständige Behörde und</w:t>
      </w:r>
    </w:p>
    <w:p>
      <w:pPr>
        <w:ind w:left="420"/>
      </w:pPr>
      <w:r>
        <w:t xml:space="preserve">2. die für den Ort des schwerwiegenden Vorkommnisses oder mutmaßlichen schwerwiegenden Vorkommnisses zuständige Behörde.</w:t>
      </w:r>
    </w:p>
    <w:p>
      <w:r>
        <w:t xml:space="preserve">Haben die in Satz 1 Nummer 1 genannten Personen ihren Sitz nicht in Deutschland und ist eine in Deutschland ansässige, vom Hersteller autorisierte Vertriebsorganisation bekannt, erfolgt die Information nach Satz 1 an die für den Sitz der Vertriebsorganisation zuständige Behörde.</w:t>
      </w:r>
    </w:p>
    <w:p>
      <w:r>
        <w:rPr>
          <w:color w:val="555555"/>
          <w:sz w:val="17"/>
        </w:rPr>
        <w:t xml:space="preserve">Zitiervorschlag: § 8 MPAMIV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https://recht.nulegal.eu/gesetze/MPAMIV/8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