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MPAMIV — Erfassung der Meldungen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Meldungen nach § 3 erfolgen zur zentralen Erfassung über das Deutsche Medizinprodukteinformations- und Datenbanksystem nach § 86 des Medizinprodukterecht-Durchführungsgesetzes. Die Meldungen nach § 4 Satz 2 können zur zentralen Erfassung über das Deutsche Medizinprodukteinformations- und Datenbanksystem nach § 86 des Medizinprodukterecht-Durchführungsgesetzes erfolgen.</w:t>
      </w:r>
    </w:p>
    <w:p>
      <w:r>
        <w:t xml:space="preserve">(2) Sofern die Meldungen nach § 4 Satz 2 nicht über das Deutsche Medizinprodukteinformations- und Datenbanksystem nach § 86 des Medizinprodukterecht-Durchführungsgesetzes erfolgt sind, stellt die zuständige Bundesoberbehörde sicher, dass die Meldungen nach § 4 Satz 2 im Deutschen Medizinprodukteinformations- und Datenbanksystem nach § 86 des Medizinprodukterecht-Durchführungsgesetzes erfasst werden.</w:t>
      </w:r>
    </w:p>
    <w:p>
      <w:r>
        <w:rPr>
          <w:color w:val="555555"/>
          <w:sz w:val="17"/>
        </w:rPr>
        <w:t xml:space="preserve">Zitiervorschlag: § 6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