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MPAMIV — Hinweise durch die Bundesoberbehörden</w:t>
      </w:r>
    </w:p>
    <w:p>
      <w:r>
        <w:rPr>
          <w:color w:val="555555"/>
          <w:sz w:val="18"/>
        </w:rPr>
        <w:t xml:space="preserve">Medizinprodukte-Anwendermelde- und Informationsverordnung</w:t>
      </w:r>
    </w:p>
    <w:p>
      <w:r>
        <w:rPr>
          <w:color w:val="555555"/>
          <w:sz w:val="18"/>
        </w:rPr>
        <w:t xml:space="preserve">Stand: 26.05.2021 (konsolidierte Textfassung, kein amtliches Inkrafttretensdatum)</w:t>
      </w:r>
    </w:p>
    <w:p>
      <w:r>
        <w:t xml:space="preserve">Die zuständigen Bundesoberbehörden veröffentlichen jeweils Hinweise zur Übermittlung der Meldungen nach den §§ 3 und 4 Satz 2 auf ihren Internetseiten; die Barrierefreiheit nach § 12a des Behindertengleichstellungsgesetzes ist zu gewährleisten. Die zuständigen Bundesoberbehörden fördern durch geeignete Maßnahmen das Verständnis der Öffentlichkeit für die Bedeutung der Patientenmeldungen mit dem Ziel der Verbesserung der Mitwirkungsbereitschaft in der Bevölkerung.</w:t>
      </w:r>
    </w:p>
    <w:p>
      <w:r>
        <w:rPr>
          <w:color w:val="555555"/>
          <w:sz w:val="17"/>
        </w:rPr>
        <w:t xml:space="preserve">Zitiervorschlag: § 5 MPAMIV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https://recht.nulegal.eu/gesetze/MPAMIV/5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