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MPAMIV — Patientenmeldungen</w:t>
      </w:r>
    </w:p>
    <w:p>
      <w:r>
        <w:rPr>
          <w:color w:val="555555"/>
          <w:sz w:val="18"/>
        </w:rPr>
        <w:t xml:space="preserve">Medizinprodukte-Anwendermelde- und Informationsverordnung</w:t>
      </w:r>
    </w:p>
    <w:p>
      <w:r>
        <w:rPr>
          <w:color w:val="555555"/>
          <w:sz w:val="18"/>
        </w:rPr>
        <w:t xml:space="preserve">Stand: 26.05.2021 (konsolidierte Textfassung, kein amtliches Inkrafttretensdatum)</w:t>
      </w:r>
    </w:p>
    <w:p>
      <w:r>
        <w:t xml:space="preserve">Patienten oder deren Angehörige sollen über mutmaßliche schwerwiegende Vorkommnisse mit Produkten, von denen sie betroffen sind, den behandelnden Arzt oder Zahnarzt oder den Händler, der das Produkt bereitgestellt hat, informieren. Sie können mutmaßliche schwerwiegende Vorkommnisse auch der zuständigen Bundesoberbehörde direkt melden.</w:t>
      </w:r>
    </w:p>
    <w:p>
      <w:r>
        <w:rPr>
          <w:color w:val="555555"/>
          <w:sz w:val="17"/>
        </w:rPr>
        <w:t xml:space="preserve">Zitiervorschlag: § 4 MPAMIV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https://recht.nulegal.eu/gesetze/MPAMIV/4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