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MPAMIV — Veröffentlichung von Informationen über das Internet</w:t>
      </w:r>
    </w:p>
    <w:p>
      <w:r>
        <w:rPr>
          <w:color w:val="555555"/>
          <w:sz w:val="18"/>
        </w:rPr>
        <w:t xml:space="preserve">Medizinprodukte-Anwendermelde- und Informationsverordnung</w:t>
      </w:r>
    </w:p>
    <w:p>
      <w:r>
        <w:rPr>
          <w:color w:val="555555"/>
          <w:sz w:val="18"/>
        </w:rPr>
        <w:t xml:space="preserve">Stand: 26.05.2022 (konsolidierte Textfassung, kein amtliches Inkrafttretensdatum)</w:t>
      </w:r>
    </w:p>
    <w:p>
      <w:r>
        <w:t xml:space="preserve">Die zuständige Bundesoberbehörde kann über durchgeführte Sicherheitskorrekturmaßnahmen im Feld, einschließlich der Sicherheitsanweisungen im Feld, sowie über Empfehlungen und Ergebnisse der wissenschaftlichen Aufarbeitung nach § 71 Absatz 7 des Medizinprodukterecht-Durchführungsgesetzes auf ihrer Internetseite informieren. Die Information erfolgt nach § 12a des Behindertengleichstellungsgesetzes barrierefrei. Die Informationen nach Satz 1 dürfen keine personenbezogenen Daten enthalten; davon abweichend dürfen Sicherheitsanweisungen im Feld die personenbezogenen Daten enthalten, die der Hersteller nach Artikel 89 Absatz 8 der Verordnung (EU) 2017/745 oder Artikel 84 Absatz 8 der Verordnung (EU) 2017/746 bereitstellt.</w:t>
      </w:r>
    </w:p>
    <w:p>
      <w:r>
        <w:rPr>
          <w:color w:val="555555"/>
          <w:sz w:val="17"/>
        </w:rPr>
        <w:t xml:space="preserve">Zitiervorschlag: § 13 MPAMIV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https://recht.nulegal.eu/gesetze/MPAMIV/13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