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MPAMIV — Erreichbarkeit der zuständigen Behörden außerhalb der Dienstzeiten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zuständigen Bundesoberbehörden machen unter Angabe ihrer Zuständigkeitsbereiche, ihrer Postanschriften und der Telekommunikationsnummern die für die Risikoerfassung und -bewertung bei ihnen zuständigen Organisationseinheiten sowie Hinweise zu deren Erreichbarkeit außerhalb der üblichen Dienstzeiten auf ihren Internetseiten bekannt.</w:t>
      </w:r>
    </w:p>
    <w:p>
      <w:r>
        <w:t xml:space="preserve">(2) Die zuständigen Behörden teilen die Angaben zur Erreichbarkeit außerhalb der üblichen Dienstzeiten den zuständigen Bundesoberbehörden mit. Die zuständigen Bundesoberbehörden machen diese Angaben auf ihren Internetseiten bekannt.</w:t>
      </w:r>
    </w:p>
    <w:p>
      <w:r>
        <w:rPr>
          <w:color w:val="555555"/>
          <w:sz w:val="17"/>
        </w:rPr>
        <w:t xml:space="preserve">Zitiervorschlag: § 12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