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MPAMIV — Anwendungsbereich</w:t>
      </w:r>
    </w:p>
    <w:p>
      <w:r>
        <w:rPr>
          <w:color w:val="555555"/>
          <w:sz w:val="18"/>
        </w:rPr>
        <w:t xml:space="preserve">Medizinprodukte-Anwendermelde- und Informationsverordnung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Diese Rechtsverordnung ist anzuwenden auf Produkte im Anwendungsbereich der Verordnung (EU) 2017/745 des Europäischen Parlaments und des Rates vom 5. April 2017 über Medizinprodukte, zur Änderung der Richtlinie 2001/83/EG, der Verordnung (EG) Nr. 178/2002 und der Verordnung (EG) Nr. 1223/2009 und zur Aufhebung der Richtlinien 90/385/EWG und 93/42/EWG des Rates (ABl. L 117 vom 5.5.2017, S. 1; L 117 vom 3.5.2019, S. 9; L 334 vom 27.12.2019, S. 165), die durch die Verordnung (EU) 2020/561 (ABl. L 130 vom 24.4.2020, S. 18) geändert worden ist, in der jeweils geltenden Fassung, und der Verordnung (EU) 2017/746 des Europäischen Parlaments und des Rates vom 5. April 2017 über In-vitro-Diagnostika und zur Aufhebung der Richtlinie 98/79/EG und des Beschlusses 2010/227/EU der Kommission (ABl. L 117 vom 5.5.2017, S. 176; L 117 vom 3.5.2019, S. 11; L 334 vom 27.12.2019, S. 167).</w:t>
      </w:r>
    </w:p>
    <w:p>
      <w:r>
        <w:rPr>
          <w:color w:val="555555"/>
          <w:sz w:val="17"/>
        </w:rPr>
        <w:t xml:space="preserve">Zitiervorschlag: § 1 MPAMIV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https://recht.nulegal.eu/gesetze/MPAMIV/1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