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MPAFHBundV — Anerkennung von Studien- und Prüfungsleistungen</w:t>
      </w:r>
    </w:p>
    <w:p>
      <w:r>
        <w:rPr>
          <w:color w:val="555555"/>
          <w:sz w:val="18"/>
        </w:rPr>
        <w:t xml:space="preserve">Verordnung über den Aufstieg in den höheren nichttechnischen Verwaltungsdienst des Bundes über das Studium „Master of Public Administration“ an der Hochschule des Bundes für öffentliche Verwaltung</w:t>
      </w:r>
    </w:p>
    <w:p>
      <w:r>
        <w:rPr>
          <w:color w:val="555555"/>
          <w:sz w:val="18"/>
        </w:rPr>
        <w:t xml:space="preserve">Stand: 10.06.2019 (konsolidierte Textfassung, kein amtliches Inkrafttretensdatum)</w:t>
      </w:r>
    </w:p>
    <w:p>
      <w:r>
        <w:t xml:space="preserve">Studien- und Prüfungsleistungen, die an anderen staatlichen oder staatlich anerkannten Hochschulen in oder außerhalb der Bundesrepublik Deutschland erworben wurden, werden auf Antrag anerkannt, wenn zu den im Masterstudium „Master of Public Administration“ zu erbringenden Studien- und Prüfungsleistungen kein wesentlicher Unterschied besteht. Qualifikationen, die nicht an einer Hochschule oder staatlichen oder staatlich anerkannten Berufsakademie erworben wurden, können auf Antrag anerkannt werden, wenn zu den im Masterstudium „Master of Public Administration“ zu erbringenden Studien- und Prüfungsleistungen kein wesentlicher Unterschied besteht. Näheres regelt eine Richtlinie, die auf der Internetseite der Hochschule veröffentlicht wird.</w:t>
      </w:r>
    </w:p>
    <w:p>
      <w:r>
        <w:rPr>
          <w:color w:val="555555"/>
          <w:sz w:val="17"/>
        </w:rPr>
        <w:t xml:space="preserve">Zitiervorschlag: § 6 MPAFHBundV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https://recht.nulegal.eu/gesetze/MPAFHBundV/6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