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MPAFHBundV — Akademischer Grad</w:t>
      </w:r>
    </w:p>
    <w:p>
      <w:r>
        <w:rPr>
          <w:color w:val="555555"/>
          <w:sz w:val="18"/>
        </w:rPr>
        <w:t xml:space="preserve">Verordnung über den Aufstieg in den höheren nichttechnischen Verwaltungsdienst des Bundes über das Studium „Master of Public Administration“ an der Hochschule des Bundes für öffentliche 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dem erfolgreichen Abschluss des Studiums wird der akademische Grad „Master of Public Administration“ verliehen.</w:t>
      </w:r>
    </w:p>
    <w:p>
      <w:r>
        <w:rPr>
          <w:color w:val="555555"/>
          <w:sz w:val="17"/>
        </w:rPr>
        <w:t xml:space="preserve">Zitiervorschlag: § 3 MPAFHBundV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https://recht.nulegal.eu/gesetze/MPAFHBundV/3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