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MPAFHBundV — Prüfungsakten, Einsichtnahme</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10.06.2019 (konsolidierte Textfassung, kein amtliches Inkrafttretensdatum)</w:t>
      </w:r>
    </w:p>
    <w:p>
      <w:r>
        <w:t xml:space="preserve">(1) Die schriftlichen Prüfungsleistungen nach § 12, die Masterarbeit, das Protokoll der mündlichen Verteidigung sowie eine Ausfertigung des Abschlusszeugnisses oder des Bescheids über das Nichtbestehen der Masterprüfung sind zu den Prüfungsakten zu nehmen. Die Hochschule hat die Prüfungsakten mindestens fünf und höchstens zehn Jahre aufzubewahren.</w:t>
      </w:r>
    </w:p>
    <w:p>
      <w:r>
        <w:t xml:space="preserve">(2) Die Studierenden und die Absolventinnen und Absolventen können Einsicht in ihre Prüfungsakten nehmen.</w:t>
      </w:r>
    </w:p>
    <w:p>
      <w:r>
        <w:rPr>
          <w:color w:val="555555"/>
          <w:sz w:val="17"/>
        </w:rPr>
        <w:t xml:space="preserve">Zitiervorschlag: § 21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