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MPAFHBundV — Bestehen der Masterprüfung, Gesamtnote</w:t>
      </w:r>
    </w:p>
    <w:p>
      <w:r>
        <w:rPr>
          <w:color w:val="555555"/>
          <w:sz w:val="18"/>
        </w:rPr>
        <w:t xml:space="preserve">Verordnung über den Aufstieg in den höheren nichttechnischen Verwaltungsdienst des Bundes über das Studium „Master of Public Administration“ an der Hochschule des Bundes für öffentliche 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Masterprüfung ist bestanden, wenn die Modulprüfungen jeweils mit mindestens fünf Rangpunkten bewertet worden sind.</w:t>
      </w:r>
    </w:p>
    <w:p>
      <w:r>
        <w:t xml:space="preserve">(2) Die Note der Masterprüfung wird aus den Bewertungen der Module mit folgender Gewichtung errechnet:</w:t>
      </w:r>
    </w:p>
    <w:p>
      <w:pPr>
        <w:ind w:left="420"/>
      </w:pPr>
      <w:r>
        <w:t xml:space="preserve">1. 75 Prozent für das arithmetische Mittel der Bewertungen der Modulprüfungen und</w:t>
      </w:r>
    </w:p>
    <w:p>
      <w:pPr>
        <w:ind w:left="420"/>
      </w:pPr>
      <w:r>
        <w:t xml:space="preserve">2. 25 Prozent für die Bewertung des Moduls „Masterarbeit“.</w:t>
      </w:r>
    </w:p>
    <w:p>
      <w:r>
        <w:t xml:space="preserve">(3) Beträgt die abschließende Rangpunktzahl 5 oder mehr, wird bei Nachkommawerten ab 50 aufgerundet; bei kleineren Nachkommawerten wird abgerundet.</w:t>
      </w:r>
    </w:p>
    <w:p>
      <w:r>
        <w:rPr>
          <w:color w:val="555555"/>
          <w:sz w:val="17"/>
        </w:rPr>
        <w:t xml:space="preserve">Zitiervorschlag: § 19 MPAFHBundV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https://recht.nulegal.eu/gesetze/MPAFHBundV/19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