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MPAFHBundV — Fernbleiben, Rücktritt</w:t>
      </w:r>
    </w:p>
    <w:p>
      <w:r>
        <w:rPr>
          <w:color w:val="555555"/>
          <w:sz w:val="18"/>
        </w:rPr>
        <w:t xml:space="preserve">Verordnung über den Aufstieg in den höheren nichttechnischen Verwaltungsdienst des Bundes über das Studium „Master of Public Administration“ an der Hochschule des Bundes für öffentliche Verwaltung</w:t>
      </w:r>
    </w:p>
    <w:p>
      <w:r>
        <w:rPr>
          <w:color w:val="555555"/>
          <w:sz w:val="18"/>
        </w:rPr>
        <w:t xml:space="preserve">Stand: 10.06.2019 (konsolidierte Textfassung, kein amtliches Inkrafttretensdatum)</w:t>
      </w:r>
    </w:p>
    <w:p>
      <w:r>
        <w:t xml:space="preserve">(1) Bleibt eine Studierende oder ein Studierender ohne Genehmigung durch das Prüfungsamt einer Prüfung oder einem Prüfungsteil fern oder tritt eine Studierende oder ein Studierender ohne Genehmigung durch das Prüfungsamt von einer Prüfung oder einem Prüfungsteil zurück, gilt die Prüfung oder der Prüfungsteil als nicht bestanden.</w:t>
      </w:r>
    </w:p>
    <w:p>
      <w:r>
        <w:t xml:space="preserve">(2) Bei genehmigtem Fernbleiben oder Rücktritt gilt die Prüfung oder der Prüfungsteil als nicht begonnen. Die Genehmigung darf nur aus wichtigem Grund erteilt werden. Bei Erkrankung soll die Genehmigung nur erteilt werden, wenn unverzüglich ein ärztliches Zeugnis vorgelegt wird. Auf Verlangen des Prüfungsamtes ist ein amtsärztliches Zeugnis oder das Zeugnis einer Ärztin oder eines Arztes vorzulegen, die oder der von der Dienstbehörde beauftragt worden ist.</w:t>
      </w:r>
    </w:p>
    <w:p>
      <w:r>
        <w:t xml:space="preserve">(3) Muss die oder der Studierende die Bearbeitung der Masterarbeit aus einem wichtigen Grund um nicht mehr als die Hälfte der Bearbeitungszeit unterbrechen, hat das Prüfungsamt die Bearbeitungszeit auf Antrag der oder des Studierenden entsprechend zu verlängern. Bei Unterbrechung um mehr als die Hälfte der Bearbeitungszeit gilt die Masterarbeit als nicht begonnen und kann mit einem anderen Thema erneut begonnen werden.</w:t>
      </w:r>
    </w:p>
    <w:p>
      <w:r>
        <w:rPr>
          <w:color w:val="555555"/>
          <w:sz w:val="17"/>
        </w:rPr>
        <w:t xml:space="preserve">Zitiervorschlag: § 16 MPAFHBundV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https://recht.nulegal.eu/gesetze/MPAFHBundV/16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