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MORVAufhV — Weiteranwendung von Vorschriften</w:t>
      </w:r>
    </w:p>
    <w:p>
      <w:r>
        <w:rPr>
          <w:color w:val="555555"/>
          <w:sz w:val="18"/>
        </w:rPr>
        <w:t xml:space="preserve">Verordnung zur Aufhebung marktordnungsrechtlicher Vorschriften im Bereich Zucker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Zucker-Lagerkostenausgleichs-Verordnung ist auf Sachverhalte, die vor dem 27. Dezember 2010 entstanden sind und deren Abwicklung weiter anzuwenden.</w:t>
      </w:r>
    </w:p>
    <w:p>
      <w:r>
        <w:rPr>
          <w:color w:val="555555"/>
          <w:sz w:val="17"/>
        </w:rPr>
        <w:t xml:space="preserve">Zitiervorschlag: § 2 MORVAufhV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https://recht.nulegal.eu/gesetze/MORVAufhV/2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