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MOG — Vergünstigungen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Das Bundesministerium für Ernährung und Landwirtschaft (Bundesministerium) wird ermächtigt, im Einvernehmen mit dem Bundesministerium der Finanzen und dem Bundesministerium für Wirtschaft und Energie durch Rechtsverordnung, die nicht der Zustimmung des Bundesrates bedarf, soweit dies zur Durchführung von</w:t>
      </w:r>
    </w:p>
    <w:p>
      <w:pPr>
        <w:ind w:left="420"/>
      </w:pPr>
      <w:r>
        <w:t xml:space="preserve">1. Regelungen im Sinne des § 1 Absatz 2 hinsichtlich Marktordnungswaren, soweit diese Regelungen nicht unter Nummer 2 fallen, bei</w:t>
      </w:r>
    </w:p>
    <w:p>
      <w:pPr>
        <w:ind w:left="780"/>
      </w:pPr>
      <w:r>
        <w:t xml:space="preserve">a) Ausfuhrerstattungen,</w:t>
      </w:r>
    </w:p>
    <w:p>
      <w:pPr>
        <w:ind w:left="780"/>
      </w:pPr>
      <w:r>
        <w:t xml:space="preserve">b) Produktionserstattungen,</w:t>
      </w:r>
    </w:p>
    <w:p>
      <w:pPr>
        <w:ind w:left="780"/>
      </w:pPr>
      <w:r>
        <w:t xml:space="preserve">c) Übergangsbeihilfen,</w:t>
      </w:r>
    </w:p>
    <w:p>
      <w:pPr>
        <w:ind w:left="780"/>
      </w:pPr>
      <w:r>
        <w:t xml:space="preserve">d) Denaturierungsbeihilfen,</w:t>
      </w:r>
    </w:p>
    <w:p>
      <w:pPr>
        <w:ind w:left="780"/>
      </w:pPr>
      <w:r>
        <w:t xml:space="preserve">e) Nichtvermarktungsbeihilfen,</w:t>
      </w:r>
    </w:p>
    <w:p>
      <w:pPr>
        <w:ind w:left="780"/>
      </w:pPr>
      <w:r>
        <w:t xml:space="preserve">f) Beihilfen an Erzeuger oder Käufer,</w:t>
      </w:r>
    </w:p>
    <w:p>
      <w:pPr>
        <w:ind w:left="780"/>
      </w:pPr>
      <w:r>
        <w:t xml:space="preserve">g) flächenbezogenen oder produktbezogenen Beihilfen,</w:t>
      </w:r>
    </w:p>
    <w:p>
      <w:pPr>
        <w:ind w:left="780"/>
      </w:pPr>
      <w:r>
        <w:t xml:space="preserve">h) Vergütungen für frühe Aufnahme von Marktordnungswaren,</w:t>
      </w:r>
    </w:p>
    <w:p>
      <w:pPr>
        <w:ind w:left="780"/>
      </w:pPr>
      <w:r>
        <w:t xml:space="preserve">i) Vergütungen im Zusammenhang mit der Destillation,</w:t>
      </w:r>
    </w:p>
    <w:p>
      <w:pPr>
        <w:ind w:left="780"/>
      </w:pPr>
      <w:r>
        <w:t xml:space="preserve">j) Beihilfen an Erzeuger oder Agrarorganisationen für die Entnahme von Marktordnungswaren aus dem Handel, für die Ernte von Marktordnungswaren vor deren Reife oder für das Nichternten von Marktordnungswaren einschließlich der Verwaltungskosten,</w:t>
      </w:r>
    </w:p>
    <w:p>
      <w:pPr>
        <w:ind w:left="780"/>
      </w:pPr>
      <w:r>
        <w:t xml:space="preserve">k) Vergütungen zum Ausgleich von Lagerkosten,</w:t>
      </w:r>
    </w:p>
    <w:p>
      <w:pPr>
        <w:ind w:left="780"/>
      </w:pPr>
      <w:r>
        <w:t xml:space="preserve">l) Beihilfen für private Lagerhaltung,</w:t>
      </w:r>
    </w:p>
    <w:p>
      <w:pPr>
        <w:ind w:left="780"/>
      </w:pPr>
      <w:r>
        <w:t xml:space="preserve">m) Beihilfen zur Erleichterung des Absatzes,</w:t>
      </w:r>
    </w:p>
    <w:p>
      <w:pPr>
        <w:ind w:left="780"/>
      </w:pPr>
      <w:r>
        <w:t xml:space="preserve">n) Beihilfen für die Herstellung von Marktordnungswaren, die für bestimmte Zwecke verwendet werden,</w:t>
      </w:r>
    </w:p>
    <w:p>
      <w:pPr>
        <w:ind w:left="780"/>
      </w:pPr>
      <w:r>
        <w:t xml:space="preserve">o) Einfuhrsubventionen zum Zwecke des Preisausgleichs,</w:t>
      </w:r>
    </w:p>
    <w:p>
      <w:pPr>
        <w:ind w:left="780"/>
      </w:pPr>
      <w:r>
        <w:t xml:space="preserve">p) Erstattungen und Subventionen im innergemeinschaftlichen Handel,</w:t>
      </w:r>
    </w:p>
    <w:p>
      <w:pPr>
        <w:ind w:left="780"/>
      </w:pPr>
      <w:r>
        <w:t xml:space="preserve">q) Beträgen, die zum Zwecke des Währungsausgleichs bei der Einfuhr oder Ausfuhr oder im innergemeinschaftlichen Handel gewährt werden,</w:t>
      </w:r>
    </w:p>
    <w:p>
      <w:pPr>
        <w:ind w:left="780"/>
      </w:pPr>
      <w:r>
        <w:t xml:space="preserve">r) Beihilfen zur Produktionsverringerung oder Aufgabe der Produktion,</w:t>
      </w:r>
    </w:p>
    <w:p>
      <w:pPr>
        <w:ind w:left="780"/>
      </w:pPr>
      <w:r>
        <w:t xml:space="preserve">s) Beihilfen an Agrarorganisationen sowie zu Betriebsfonds oder anderen Fonds dieser Organisationen,</w:t>
      </w:r>
    </w:p>
    <w:p>
      <w:pPr>
        <w:ind w:left="780"/>
      </w:pPr>
      <w:r>
        <w:t xml:space="preserve">t) sonstigen Vergünstigungen zu Marktordnungszwecken,</w:t>
      </w:r>
    </w:p>
    <w:p>
      <w:pPr>
        <w:ind w:left="420"/>
      </w:pPr>
      <w:r>
        <w:t xml:space="preserve">2. Regelungen im Sinne des § 1 Absatz 2 bei Direktzahlungen</w:t>
      </w:r>
    </w:p>
    <w:p>
      <w:r>
        <w:t xml:space="preserve">erforderlich ist, Vorschriften zu erlassen über das Verfahren sowie über die Voraussetzungen und die Höhe dieser Vergünstigungen, soweit sie nach den Regelungen im Sinne des § 1 Absatz 2 bestimmt, bestimmbar oder begrenzt sind.</w:t>
      </w:r>
    </w:p>
    <w:p>
      <w:r>
        <w:t xml:space="preserve">(2) In Rechtsverordnungen nach Absatz 1 können, soweit dies in Regelungen im Sinne des § 1 Absatz 2 vorgesehen ist, im Rahmen einer Verbilligung der Abgabe von Marktordnungswaren Preise vorgeschrieben werden, um zu gewährleisten, dass der Zweck der Vergünstigung erreicht wird.</w:t>
      </w:r>
    </w:p>
    <w:p>
      <w:r>
        <w:t xml:space="preserve">(2a) In Rechtsverordnungen nach Absatz 1 können die Erstellung und der Inhalt von Strategien oder operationeller Programme einschließlich der zugehörigen Verfahren geregelt werden, soweit eine Strategie oder ein operationelles Programm für die Durchführung einer Vergünstigung im Sinne des Absatzes 1 unionsrechtlich erforderlich ist und der Inhalt der Strategie oder des operationellen Programms nach den Regelungen des § 1 Absatz 2 bestimmt oder bestimmbar ist.</w:t>
      </w:r>
    </w:p>
    <w:p>
      <w:r>
        <w:t xml:space="preserve">(3) Soweit im Rahmen des Verfahrens nach Absatz 1 Nummer 1 Buchstabe i steuerrechtliche Angaben benötigt werden, sind die mit der Durchführung des Alkoholsteuergesetzes betrauten Finanzbehörden befugt, gegenüber den für diese Verfahren zuständigen Stellen die erforderlichen Auskünfte zu erteilen.</w:t>
      </w:r>
    </w:p>
    <w:p>
      <w:r>
        <w:t xml:space="preserve">(4) Rechtsverordnungen bedürfen abweichend von Absatz 1 der Zustimmung des Bundesrates, wenn die Länder Maßnahmen nach Absatz 1 durchführen oder an der Durchführung dieser Maßnahmen mitwirken. Rechtsverordnungen nach Absatz 1 können auch in den Fällen des Satzes 1 ohne Zustimmung des Bundesrates erlassen werden, wenn ihr unverzügliches Inkrafttreten zur Durchführung von Regelungen im Sinne des § 1 Absatz 2 erforderlich ist und ihre Geltungsdauer auf einen bestimmten Zeitraum von höchstens sechs Monaten begrenzt wird.</w:t>
      </w:r>
    </w:p>
    <w:p>
      <w:r>
        <w:t xml:space="preserve">(5) In Rechtsverordnungen nach Absatz 1 kann die Ermächtigung nach Absatz 1 auf die Landesregierungen übertragen werden, soweit dies erforderlich ist, um besonderen regionalen Gegebenheiten Rechnung tragen zu können. Soweit die Ermächtigung nach Absatz 1 auf Grund des Satzes 1 auf die Landesregierungen übertragen worden ist, können diese in ihren Rechtsverordnungen auch Vorschriften auf Grund der §§ 15 und 16 erlassen. Die Landesregierungen können die Ermächtigung durch Rechtsverordnung auf oberste Landesbehörden übertragen.</w:t>
      </w:r>
    </w:p>
    <w:p>
      <w:r>
        <w:rPr>
          <w:color w:val="555555"/>
          <w:sz w:val="17"/>
        </w:rPr>
        <w:t xml:space="preserve">Zitiervorschlag: § 6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