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MOG — Übergangsregelungen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Ablauf des 30. April 2016 ist § 4 in der am 22. Januar 2016 geltenden Fassung weiter anzuwenden.</w:t>
      </w:r>
    </w:p>
    <w:p>
      <w:r>
        <w:t xml:space="preserve">(2) Bis zum Ablauf des 31. Dezember 2017 sind § 6 Absatz 3 und § 7 Absatz 1 Satz 2 Nummer 1 und Absatz 4 Satz 1 in der am 22. Januar 2016 geltenden Fassung weiter anzuwenden.</w:t>
      </w:r>
    </w:p>
    <w:p>
      <w:r>
        <w:t xml:space="preserve">(3) Solange nicht auf Grund des § 6a neue Regelungen getroffen worden sind, ist, auch soweit dies zur Vermeidung von Lücken in der Bußgeldbewehrung erforderlich ist, hinsichtlich der Vorschriften, die auf Grund des § 1 Absatz 3 des Handelsklassengesetzes in der Fassung der Bekanntmachung vom 23. November 1972 (BGBl. I S. 2201), das zuletzt durch Artikel 4 des Gesetzes vom 16. Januar 2016 (BGBl. I S. 52) geändert worden ist, in der bis zum 22. Januar 2016 geltenden Fassung erlassen worden sind, das Handelsklassengesetz in der bis zum 22. Januar 2016 geltenden Fassung weiter anzuwenden.</w:t>
      </w:r>
    </w:p>
    <w:p>
      <w:r>
        <w:t xml:space="preserve">(4) Auf Sachverhalte, die vor dem 23. Januar 2016 entstanden sind, ist § 1 Absatz 3 Satz 1 Nummer 2 des Handelsklassengesetzes in der Fassung der Bekanntmachung vom 23. November 1972 (BGBl. I S. 2201), das zuletzt durch Artikel 4 des Gesetzes vom 16. Januar 2016 (BGBl. I S. 52) geändert worden ist, hinsichtlich der Verfolgung von Ordnungswidrigkeiten weiter anzuwenden.</w:t>
      </w:r>
    </w:p>
    <w:p>
      <w:r>
        <w:t xml:space="preserve">(5) Für Rechtsverordnungen, die vor dem 23. Januar 2016 auf Grund dieses Gesetzes erlassen worden sind, gilt bis zu ihrer erstmaligen Änderung nach dem 23. Januar 2016 die Anlage unmittelbar.</w:t>
      </w:r>
    </w:p>
    <w:p>
      <w:r>
        <w:rPr>
          <w:color w:val="555555"/>
          <w:sz w:val="17"/>
        </w:rPr>
        <w:t xml:space="preserve">Zitiervorschlag: § 44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