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MOG — Bußgeldvorschriften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Ordnungswidrig handelt, wer vorsätzlich oder leichtfertig unrichtige oder unvollständige Angaben tatsächlicher Art macht oder benutzt, um für sich oder einen anderen eine Lizenz, Erlaubnis, Genehmigung, Zulassung, Anerkennung, Bewilligung oder Bescheinigung zu erlangen, die nach Regelungen im Sinne des § 1 Absatz 2 hinsichtlich Marktordnungswaren oder Direktzahlungen oder nach Rechtsverordnungen auf Grund dieses Gesetzes erforderlich sind.</w:t>
      </w:r>
    </w:p>
    <w:p>
      <w:r>
        <w:t xml:space="preserve">(2) Ordnungswidrig handelt auch, wer vorsätzlich oder fahrlässig</w:t>
      </w:r>
    </w:p>
    <w:p>
      <w:pPr>
        <w:ind w:left="420"/>
      </w:pPr>
      <w:r>
        <w:t xml:space="preserve">1. Marktordnungswaren entgegen einer Vorschrift in Regelungen im Sinne des § 1 Absatz 2 Nummer 1, 2 oder 3 oder in Rechtsverordnungen auf Grund dieses Gesetzes ohne die in § 18 bezeichneten Bescheide oder ohne Vorlage dieser Bescheide in den oder aus dem Geltungsbereich dieses Gesetzes verbringt oder einführt oder ausführt oder verbringen, einführen oder ausführen lässt oder</w:t>
      </w:r>
    </w:p>
    <w:p>
      <w:pPr>
        <w:ind w:left="420"/>
      </w:pPr>
      <w:r>
        <w:t xml:space="preserve">2. Marktordnungswaren in den oder aus dem Geltungsbereich dieses Gesetzes verbringt oder einführt oder ausführt oder verbringen, einführen oder ausführen lässt, ohne die Waren zu einem zollrechtlich beschränkten Verkehr abfertigen zu lassen, obwohl die Einfuhr oder Ausfuhr nach Regelungen im Sinne des § 1 Absatz 2 Nummer 1, 2 oder 3 oder nach Rechtsverordnungen auf Grund des § 27 Absatz 1 Nummer 2 Buchstabe b ausgesetzt ist.</w:t>
      </w:r>
    </w:p>
    <w:p>
      <w:r>
        <w:t xml:space="preserve">(3) Ordnungswidrig handelt ferner, wer</w:t>
      </w:r>
    </w:p>
    <w:p>
      <w:pPr>
        <w:ind w:left="420"/>
      </w:pPr>
      <w:r>
        <w:t xml:space="preserve">1. vorsätzlich oder leichtfertig entgegen einer Vorschrift in Regelungen im Sinne des § 1 Absatz 2 hinsichtlich Marktordnungswaren oder Direktzahlungen oder in Rechtsverordnungen auf Grund dieses Gesetzes oder entgegen § 33</w:t>
      </w:r>
    </w:p>
    <w:p>
      <w:pPr>
        <w:ind w:left="780"/>
      </w:pPr>
      <w:r>
        <w:t xml:space="preserve">a) einer Melde-, Aufzeichnungs- oder Aufbewahrungspflicht zuwiderhandelt,</w:t>
      </w:r>
    </w:p>
    <w:p>
      <w:pPr>
        <w:ind w:left="780"/>
      </w:pPr>
      <w:r>
        <w:t xml:space="preserve">b) eine Auskunft nicht, nicht richtig, nicht vollständig oder nicht fristgemäß erteilt,</w:t>
      </w:r>
    </w:p>
    <w:p>
      <w:pPr>
        <w:ind w:left="780"/>
      </w:pPr>
      <w:r>
        <w:t xml:space="preserve">c) Geschäftsunterlagen nicht, nicht vollständig oder nicht fristgemäß vorlegt oder die Einsichtnahme in Geschäftspapiere oder sonstige Unterlagen nicht gestattet oder</w:t>
      </w:r>
    </w:p>
    <w:p>
      <w:pPr>
        <w:ind w:left="780"/>
      </w:pPr>
      <w:r>
        <w:t xml:space="preserve">d) die Besichtigung von Grundstücken oder Räumen oder eine amtliche Überwachung der zweck- oder fristgerechten Verwendung nicht gestattet,</w:t>
      </w:r>
    </w:p>
    <w:p>
      <w:pPr>
        <w:ind w:left="420"/>
      </w:pPr>
      <w:r>
        <w:t xml:space="preserve">2. die Nachprüfung (§ 33) von Umständen, die nach Regelungen im Sinne des § 1 Absatz 2 hinsichtlich Marktordnungswaren oder Direktzahlungen, nach diesem Gesetz oder nach Rechtsverordnungen auf Grund dieses Gesetzes erheblich sind, dadurch verhindert oder erschwert, dass er Bücher oder Aufzeichnungen, deren Führung oder Aufbewahrung ihm nach handels- oder steuerrechtlichen Vorschriften oder nach einer auf Grund dieses Gesetzes erlassenen Rechtsverordnung obliegt, nicht oder nicht ordentlich führt, nicht aufbewahrt oder verheimlicht,</w:t>
      </w:r>
    </w:p>
    <w:p>
      <w:pPr>
        <w:ind w:left="420"/>
      </w:pPr>
      <w:r>
        <w:t xml:space="preserve">3. vorsätzlich oder leichtfertig einer Rechtsverordnung nach</w:t>
      </w:r>
    </w:p>
    <w:p>
      <w:pPr>
        <w:ind w:left="780"/>
      </w:pPr>
      <w:r>
        <w:t xml:space="preserve">a) § 6 Absatz 1, auch in Verbindung mit § 9 Absatz 2, § 9b Absatz 2 oder § 9d Absatz 1,</w:t>
      </w:r>
    </w:p>
    <w:p>
      <w:pPr>
        <w:ind w:left="780"/>
      </w:pPr>
      <w:r>
        <w:t xml:space="preserve">b) § 6 Absatz 2, auch in Verbindung mit § 7 Absatz 3 Satz 2, § 9 Absatz 2, § 9b Absatz 2 oder § 9d Absatz 1,</w:t>
      </w:r>
    </w:p>
    <w:p>
      <w:pPr>
        <w:ind w:left="780"/>
      </w:pPr>
      <w:r>
        <w:t xml:space="preserve">c) § 6a Absatz 1, § 8 Absatz 1 Satz 1, § 9 Absatz 1 Satz 1, § 9a Satz 1 oder § 12 Absatz 3 Satz 1, jeweils auch in Verbindung mit § 9b Absatz 2 oder § 9d Absatz 1,</w:t>
      </w:r>
    </w:p>
    <w:p>
      <w:pPr>
        <w:ind w:left="780"/>
      </w:pPr>
      <w:r>
        <w:t xml:space="preserve">d) § 9b Absatz 1, auch in Verbindung mit § 9d Absatz 1,</w:t>
      </w:r>
    </w:p>
    <w:p>
      <w:pPr>
        <w:ind w:left="780"/>
      </w:pPr>
      <w:r>
        <w:t xml:space="preserve">e) § 9d Absatz 2 Satz 1, § 21 Satz 1 Nummer 3 oder § 24 Absatz 1 oder</w:t>
      </w:r>
    </w:p>
    <w:p>
      <w:pPr>
        <w:ind w:left="780"/>
      </w:pPr>
      <w:r>
        <w:t xml:space="preserve">f) § 15 Satz 1, auch in Verbindung mit § 16, oder § 21 Satz 1 Nummer 4</w:t>
      </w:r>
    </w:p>
    <w:p>
      <w:pPr>
        <w:ind w:left="420"/>
      </w:pPr>
      <w:r>
        <w:t xml:space="preserve">oder einer vollziehbaren Anordnung auf Grund einer solchen Rechtsverordnung zuwiderhandelt, soweit die Rechtsverordnung für einen bestimmten Tatbestand auf diese Bußgeldvorschrift verweist, oder</w:t>
      </w:r>
    </w:p>
    <w:p>
      <w:pPr>
        <w:ind w:left="420"/>
      </w:pPr>
      <w:r>
        <w:t xml:space="preserve">4. entgegen § 23 Absatz 2 Satz 1 Waren nicht anmeldet.</w:t>
      </w:r>
    </w:p>
    <w:p>
      <w:r>
        <w:t xml:space="preserve">(4) Ordnungswidrig handelt auch, wer vorsätzlich oder fahrlässig Geboten, Verboten oder Beschränkungen hinsichtlich der Erzeugung, des Anbaus, der Verwendung oder der Vermarktung von Marktordnungswaren, die in Regelungen im Sinne des § 1 Absatz 2 enthalten sind, zuwiderhandelt oder Erzeugnisse, die entgegen solchen Verboten oder Beschränkungen gewonnen worden sind, gewerbsmäßig in den Verkehr bringt, soweit eine Rechtsverordnung nach Satz 2 für einen bestimmten Tatbestand auf diese Bußgeldvorschrift verweist. Das Bundesministerium wird ermächtigt, durch Rechtsverordnung mit Zustimmung des Bundesrates die einzelnen Tatbestände der Regelungen im Sinne des § 1 Absatz 2, die nach Satz 1 als Ordnungswidrigkeiten mit Geldbuße geahndet werden können, zu bezeichnen, soweit dies zur Durchführung dieser Regelungen erforderlich ist.</w:t>
      </w:r>
    </w:p>
    <w:p>
      <w:r>
        <w:t xml:space="preserve">(5) Der Versuch einer Ordnungswidrigkeit nach Absatz 2 kann geahndet werden.</w:t>
      </w:r>
    </w:p>
    <w:p>
      <w:r>
        <w:t xml:space="preserve">(6) Eine Ordnungswidrigkeit</w:t>
      </w:r>
    </w:p>
    <w:p>
      <w:pPr>
        <w:ind w:left="420"/>
      </w:pPr>
      <w:r>
        <w:t xml:space="preserve">1. nach den Absätzen 1, 2, 3 Nummer 3 Buchstabe a bis e und Absatz 4 kann mit einer Geldbuße bis zu fünfzigtausend Euro,</w:t>
      </w:r>
    </w:p>
    <w:p>
      <w:pPr>
        <w:ind w:left="420"/>
      </w:pPr>
      <w:r>
        <w:t xml:space="preserve">2. nach Absatz 3 Nummer 1, 2, 3 Buchstabe f und Nummer 4 kann mit einer Geldbuße bis zu fünftausend Euro</w:t>
      </w:r>
    </w:p>
    <w:p>
      <w:r>
        <w:t xml:space="preserve">geahndet werden.</w:t>
      </w:r>
    </w:p>
    <w:p>
      <w:r>
        <w:t xml:space="preserve">(7) Gegenstände, auf die sich die Ordnungswidrigkeit bezieht, können eingezogen werden.</w:t>
      </w:r>
    </w:p>
    <w:p>
      <w:r>
        <w:rPr>
          <w:color w:val="555555"/>
          <w:sz w:val="17"/>
        </w:rPr>
        <w:t xml:space="preserve">Zitiervorschlag: § 36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