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34f MOG — Ermächtigungen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Das Bundesministerium wird ermächtigt, durch Rechtsverordnung mit Zustimmung des Bundesrates das Verwaltungsverfahren und technische und organisatorische Maßnahmen bei der Datenverarbeitung zu regeln, um Vorschriften im Sinne des § 34a Absatz 1 Nummer 1 sachgerecht durchzuführen.</w:t>
      </w:r>
    </w:p>
    <w:p>
      <w:r>
        <w:t xml:space="preserve">(2) Das Bundesministerium wird ermächtigt, durch Rechtsverordnung mit Zustimmung des Bundesrates die Anlage an die jeweils geltenden Regelungen im Sinne des § 1 Absatz 2 anzupassen.</w:t>
      </w:r>
    </w:p>
    <w:p>
      <w:r>
        <w:t xml:space="preserve">(3) Rechtsverordnungen nach den Absätzen 1 und 2 können ohne Zustimmung des Bundesrates erlassen werden, wenn ihr unverzügliches Inkrafttreten zur Durchführung von Regelungen im Sinne des § 1 Absatz 2 Nummer 1 bis 3 erforderlich ist. Sie treten spätestens sechs Monate nach ihrem Inkrafttreten außer Kraft; ihre Geltungsdauer kann nur mit Zustimmung des Bundesrates verlängert werden.</w:t>
      </w:r>
    </w:p>
    <w:p>
      <w:r>
        <w:rPr>
          <w:color w:val="555555"/>
          <w:sz w:val="17"/>
        </w:rPr>
        <w:t xml:space="preserve">Zitiervorschlag: § 34f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https://recht.nulegal.eu/gesetze/MOG/34f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