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34e MOG — Verarbeitung weiterer Daten bei außergewöhnlichen Maßnahmen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28.07.2022 (konsolidierte Textfassung, kein amtliches Inkrafttretensdatum)</w:t>
      </w:r>
    </w:p>
    <w:p>
      <w:r>
        <w:t xml:space="preserve">Die zuständigen Zahlstellen im Sinne des Integrierten Verwaltungs- und Kontrollsystems für Maßnahmen der Gemeinsamen Agrarpolitik übermitteln der Marktordnungsstelle oder der Sozialversicherung für Landwirtschaft, Forsten und Gartenbau zur Durchführung und Überwachung außergewöhnlicher Maßnahmen Betriebsdaten im Sinne des § 2 des InVeKoS-Daten-Gesetzes, die in Vorschriften im Sinne des § 34a Absatz 1 Nummer 1 vorgesehen sind. Die Marktordnungsstelle oder die Sozialversicherung für Landwirtschaft, Forsten und Gartenbau verarbeitet die nach Satz 1 übermittelten Daten zum Zwecke der Durchführung und Überwachung außergewöhnlicher Maßnahmen. § 34d gilt entsprechend.</w:t>
      </w:r>
    </w:p>
    <w:p>
      <w:r>
        <w:rPr>
          <w:color w:val="555555"/>
          <w:sz w:val="17"/>
        </w:rPr>
        <w:t xml:space="preserve">Zitiervorschlag: § 34e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