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34a MOG — Betriebsdaten</w:t>
      </w:r>
    </w:p>
    <w:p>
      <w:r>
        <w:rPr>
          <w:color w:val="555555"/>
          <w:sz w:val="18"/>
        </w:rPr>
        <w:t xml:space="preserve">Marktorganisationsgesetz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Betriebsdaten sind die in der Anlage bezeichneten Daten,</w:t>
      </w:r>
    </w:p>
    <w:p>
      <w:pPr>
        <w:ind w:left="420"/>
      </w:pPr>
      <w:r>
        <w:t xml:space="preserve">1. die zur Durchführung</w:t>
      </w:r>
    </w:p>
    <w:p>
      <w:pPr>
        <w:ind w:left="780"/>
      </w:pPr>
      <w:r>
        <w:t xml:space="preserve">a) von Regelungen im Sinne des § 1 Absatz 2 hinsichtlich Marktordnungswaren oder Direktzahlungen,</w:t>
      </w:r>
    </w:p>
    <w:p>
      <w:pPr>
        <w:ind w:left="780"/>
      </w:pPr>
      <w:r>
        <w:t xml:space="preserve">b) dieses Gesetzes oder</w:t>
      </w:r>
    </w:p>
    <w:p>
      <w:pPr>
        <w:ind w:left="780"/>
      </w:pPr>
      <w:r>
        <w:t xml:space="preserve">c) der auf Grund dieses Gesetzes erlassenen Rechtsverordnungen</w:t>
      </w:r>
    </w:p>
    <w:p>
      <w:pPr>
        <w:ind w:left="420"/>
      </w:pPr>
      <w:r>
        <w:t xml:space="preserve">erhoben oder übermittelt werden oder</w:t>
      </w:r>
    </w:p>
    <w:p>
      <w:pPr>
        <w:ind w:left="420"/>
      </w:pPr>
      <w:r>
        <w:t xml:space="preserve">2. die bei der Überwachung der Einhaltung von Vorschriften im Sinne der Nummer 1 erhoben werden.</w:t>
      </w:r>
    </w:p>
    <w:p>
      <w:r>
        <w:t xml:space="preserve">(2) Betriebsdaten, auf die nach § 12 Absatz 1 Satz 1 die Abgabenordnung anwendbar ist, sind von Absatz 1 ausgenommen.</w:t>
      </w:r>
    </w:p>
    <w:p>
      <w:r>
        <w:rPr>
          <w:color w:val="555555"/>
          <w:sz w:val="17"/>
        </w:rPr>
        <w:t xml:space="preserve">Zitiervorschlag: § 34a MOG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https://recht.nulegal.eu/gesetze/MOG/34a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