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MOG — Aufsicht; Kostenerstattung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28.07.2022 (konsolidierte Textfassung, kein amtliches Inkrafttretensdatum)</w:t>
      </w:r>
    </w:p>
    <w:p>
      <w:r>
        <w:t xml:space="preserve">(1) Die Sozialversicherung für Landwirtschaft, Forsten und Gartenbau untersteht bei der Durchführung einer ihr durch eine Regelung nach § 31 Absatz 2 Satz 1 Nummer 2 übertragenen Aufgabe der Aufsicht des Bundesministeriums. Umfang und Art der Durchführung seiner Aufsicht bestimmt das Bundesministerium im Einvernehmen mit dem Bundesministerium für Arbeit und Soziales.</w:t>
      </w:r>
    </w:p>
    <w:p>
      <w:r>
        <w:t xml:space="preserve">(2) Das Bundesministerium wird ermächtigt, im Einvernehmen mit dem Bundesministerium für Arbeit und Soziales durch Rechtsverordnung ohne Zustimmung des Bundesrates</w:t>
      </w:r>
    </w:p>
    <w:p>
      <w:pPr>
        <w:ind w:left="420"/>
      </w:pPr>
      <w:r>
        <w:t xml:space="preserve">1. die Übertragung der Aufsicht an die Bundesanstalt,</w:t>
      </w:r>
    </w:p>
    <w:p>
      <w:pPr>
        <w:ind w:left="420"/>
      </w:pPr>
      <w:r>
        <w:t xml:space="preserve">2. die Einzelheiten der Aufsicht</w:t>
      </w:r>
    </w:p>
    <w:p>
      <w:r>
        <w:t xml:space="preserve">zu regeln, soweit dies erforderlich ist, um Anforderungen in Regelungen in § 1 Absatz 2 Nummer 1 bis 3 hinsichtlich der Abwicklung von Zahlungen im Rahmen der Gemeinsamen Agrarpolitik einzuhalten.</w:t>
      </w:r>
    </w:p>
    <w:p>
      <w:r>
        <w:t xml:space="preserve">(3) Wird bei einer Regelung nach § 31 Absatz 2 Satz 1 Nummer 2 die Sozialversicherung für Landwirtschaft, Forsten und Gartenbau als für die Durchführung zuständige Stelle bestimmt, werden ihr alle Verwaltungskosten, die ihr durch die Wahrnehmung der Aufgabe entstehen, vom Bund erstattet.</w:t>
      </w:r>
    </w:p>
    <w:p>
      <w:r>
        <w:rPr>
          <w:color w:val="555555"/>
          <w:sz w:val="17"/>
        </w:rPr>
        <w:t xml:space="preserve">Zitiervorschlag: § 31a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