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MOG — Zuständigkeiten und Durchführung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Für Maßnahmen, die in Regelungen im Sinne des § 1 Absatz 2 Nummer 1 bis 3 bei Marktstörungen oder drohenden Marktstörungen vorgesehen sind, gelten, sofern die Maßnahmen nicht von Organen der Europäischen Union unmittelbar getroffen werden, für Marktordnungswaren die folgenden Vorschriften:</w:t>
      </w:r>
    </w:p>
    <w:p>
      <w:pPr>
        <w:ind w:left="420"/>
      </w:pPr>
      <w:r>
        <w:t xml:space="preserve">1. Die Erteilung von Lizenzen und die Festsetzung von Ausfuhrabgaben und Ausfuhrerstattungen in der Lizenz können von der Marktordnungsstelle nur auf Weisung des Bundesministeriums ganz oder teilweise eingestellt oder abgelehnt werden.</w:t>
      </w:r>
    </w:p>
    <w:p>
      <w:pPr>
        <w:ind w:left="780"/>
      </w:pPr>
      <w:r>
        <w:t xml:space="preserve">a) Auf Weisung des Bundesministeriums der Finanzen können für die Dauer von höchstens drei Tagen</w:t>
      </w:r>
    </w:p>
    <w:p>
      <w:pPr>
        <w:ind w:left="1140"/>
      </w:pPr>
      <w:r>
        <w:t xml:space="preserve">aa) die Abfertigung bei der Einfuhr und Ausfuhr von Marktordnungswaren vorläufig ausgesetzt werden und</w:t>
      </w:r>
    </w:p>
    <w:p>
      <w:pPr>
        <w:ind w:left="1140"/>
      </w:pPr>
      <w:r>
        <w:t xml:space="preserve">bb) das Verbringen und Überführen von Marktordnungswaren, die bisher ohne zollamtliche Abfertigung in den freien Verkehr im Geltungsbereich dieses Gesetzes treten durften, in den freien Verkehr im Geltungsbereich dieses Gesetzes durch Bekanntmachung im Bundesanzeiger untersagt werden.</w:t>
      </w:r>
    </w:p>
    <w:p>
      <w:pPr>
        <w:ind w:left="780"/>
      </w:pPr>
      <w:r>
        <w:t xml:space="preserve">b) Das Bundesministerium wird ermächtigt, im Einvernehmen mit dem Bundesministerium der Finanzen und dem Bundesministerium für Wirtschaft und Energie durch Rechtsverordnung, die nicht der Zustimmung des Bundesrates bedarf, anzuordnen, dass die Einfuhr und Ausfuhr von Marktordnungswaren ausgesetzt oder beschränkt, insbesondere von einer Erlaubnis oder Genehmigung abhängig gemacht werden; in der Rechtsverordnung können Vorschriften über das Verfahren erlassen, Vorschriften über Lizenzen auf die Erlaubnis und Genehmigung für anwendbar erklärt, die Stellung einer Kaution vorgesehen sowie deren Höhe festgesetzt werden; die Kaution darf fünf vom Hundert des durchschnittlichen Marktwertes der Waren auf der Großhandelsstufe nicht übersteigen.</w:t>
      </w:r>
    </w:p>
    <w:p>
      <w:pPr>
        <w:ind w:left="420"/>
      </w:pPr>
      <w:r>
        <w:t xml:space="preserve">3. Das Bundesministerium wird ermächtigt, im Einvernehmen mit dem Bundesministerium der Finanzen und dem Bundesministerium für Wirtschaft und Energie durch Rechtsverordnung, die nicht der Zustimmung des Bundesrates bedarf, zur Sicherung von durch die Europäische Union festzusetzenden Ausfuhrabgaben Vorschriften zu erlassen über die Voraussetzungen, die Höhe und das Verfahren der Hinterlegung eines Betrages oder der Stellung einer Sicherheit; der zu hinterlegende Betrag und die Sicherheit können bis zu einer Höhe bemessen werden, bei der eine entsprechende Ausfuhrabgabe geeignet ist, die Marktstörung oder die Gefahr einer Marktstörung zu beheben.</w:t>
      </w:r>
    </w:p>
    <w:p>
      <w:r>
        <w:rPr>
          <w:color w:val="555555"/>
          <w:sz w:val="17"/>
        </w:rPr>
        <w:t xml:space="preserve">Zitiervorschlag: § 27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