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MOG — Ermächtigungen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Das Bundesministerium wird ermächtigt, im Einvernehmen mit dem Bundesministerium der Finanzen und dem Bundesministerium für Wirtschaft und Energie durch Rechtsverordnung, die nicht der Zustimmung des Bundesrates bedarf, soweit dies zur Durchführung von Regelungen im Sinne des § 1 Absatz 2 Nummer 1 bis 3 hinsichtlich Marktordnungswaren erforderlich ist, Vorschriften zu erlassen über die Voraussetzungen und die Höhe von Ausfuhrabgaben, soweit diese nach den Regelungen im Sinne des § 1 Absatz 2 Nummer 1 bis 3 bestimmt, bestimmbar oder nach oben begrenzt sind.</w:t>
      </w:r>
    </w:p>
    <w:p>
      <w:r>
        <w:t xml:space="preserve">(2) Das Bundesministerium der Finanzen wird ermächtigt, im Einvernehmen mit dem Bundesministerium für Wirtschaft und Energie und dem Bundesministerium durch Rechtsverordnung, die nicht der Zustimmung des Bundesrates bedarf,</w:t>
      </w:r>
    </w:p>
    <w:p>
      <w:pPr>
        <w:ind w:left="420"/>
      </w:pPr>
      <w:r>
        <w:t xml:space="preserve">1. (weggefallen)</w:t>
      </w:r>
    </w:p>
    <w:p>
      <w:pPr>
        <w:ind w:left="420"/>
      </w:pPr>
      <w:r>
        <w:t xml:space="preserve">2. soweit nicht Regelungen im Sinne des § 1 Absatz 2 Nummer 1 bis 3 entgegenstehen und soweit dadurch nicht unangemessene Abgabenvorteile entstehen, für Waren, für die eine Ausfuhrabgabe vorgesehen ist, Befreiung von, Erlass oder Erstattung der Abgabe anzuordnen</w:t>
      </w:r>
    </w:p>
    <w:p>
      <w:pPr>
        <w:ind w:left="780"/>
      </w:pPr>
      <w:r>
        <w:t xml:space="preserve">a) unter den sinngemäß anzuwendenden Voraussetzungen des § 29 Absatz 1 des Zollverwaltungsgesetzes; § 29 Absatz 2 des Zollverwaltungsgesetzes gilt sinngemäß,</w:t>
      </w:r>
    </w:p>
    <w:p>
      <w:pPr>
        <w:ind w:left="780"/>
      </w:pPr>
      <w:r>
        <w:t xml:space="preserve">b) bei Waren, die in das Zolllagerverfahren oder in die aktive oder passive Veredelung übergeführt worden sind.</w:t>
      </w:r>
    </w:p>
    <w:p>
      <w:r>
        <w:t xml:space="preserve">(3) § 14 Absatz 1 und die §§ 15 und 16 gelten für Ausfuhrabgaben entsprechend mit der Maßgabe, dass die Rechtsverordnungen vom Bundesministerium der Finanzen im Einvernehmen mit dem Bundesministerium für Wirtschaft und Energie und dem Bundesministerium erlassen werden.</w:t>
      </w:r>
    </w:p>
    <w:p>
      <w:r>
        <w:rPr>
          <w:color w:val="555555"/>
          <w:sz w:val="17"/>
        </w:rPr>
        <w:t xml:space="preserve">Zitiervorschlag: § 24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