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MOG — Zinsen</w:t>
      </w:r>
    </w:p>
    <w:p>
      <w:r>
        <w:rPr>
          <w:color w:val="555555"/>
          <w:sz w:val="18"/>
        </w:rPr>
        <w:t xml:space="preserve">Marktorganisationsgesetz</w:t>
      </w:r>
    </w:p>
    <w:p>
      <w:r>
        <w:rPr>
          <w:color w:val="555555"/>
          <w:sz w:val="18"/>
        </w:rPr>
        <w:t xml:space="preserve">Stand: 07.11.2024 (konsolidierte Textfassung, kein amtliches Inkrafttretensdatum)</w:t>
      </w:r>
    </w:p>
    <w:p>
      <w:r>
        <w:t xml:space="preserve">(1) Ansprüche auf Erstattung von Vergünstigungen sowie auf Beträge, die wegen Nichteinhaltung anderweitiger Verpflichtungen zu erstatten sind, sind vom Zeitpunkt ihrer Entstehung an mit fünf Prozentpunkten über dem Basiszinssatz zu verzinsen. § 49a Absatz 3 Satz 2 des Verwaltungsverfahrensgesetzes ist anzuwenden. Werden Abgaben nicht rechtzeitig gezahlt, sind sie vom Fälligkeitstag an mit fünf Prozentpunkten über dem Basiszinssatz zu verzinsen. Satz 1, 2 oder 3 ist nicht anzuwenden, soweit Regelungen im Sinne des § 1 Absatz 2 etwas anderes vorsehen.</w:t>
      </w:r>
    </w:p>
    <w:p>
      <w:r>
        <w:t xml:space="preserve">(2) Ansprüche auf Vergünstigungen und im Rahmen von Interventionen sind ab Rechtshängigkeit nach Maßgabe der §§ 236, 238 und 239 der Abgabenordnung zu verzinsen. Im Übrigen sind diese Ansprüche unverzinslich.</w:t>
      </w:r>
    </w:p>
    <w:p>
      <w:r>
        <w:rPr>
          <w:color w:val="555555"/>
          <w:sz w:val="17"/>
        </w:rPr>
        <w:t xml:space="preserve">Zitiervorschlag: § 14 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