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MOG — Beweislast</w:t>
      </w:r>
    </w:p>
    <w:p>
      <w:r>
        <w:rPr>
          <w:color w:val="555555"/>
          <w:sz w:val="18"/>
        </w:rPr>
        <w:t xml:space="preserve">Marktorganisationsgesetz</w:t>
      </w:r>
    </w:p>
    <w:p>
      <w:r>
        <w:rPr>
          <w:color w:val="555555"/>
          <w:sz w:val="18"/>
        </w:rPr>
        <w:t xml:space="preserve">Stand: 10.06.2019 (konsolidierte Textfassung, kein amtliches Inkrafttretensdatum)</w:t>
      </w:r>
    </w:p>
    <w:p>
      <w:r>
        <w:t xml:space="preserve">Der Begünstigte trägt, soweit nicht Regelungen im Sinne des § 1 Absatz 2 etwas anderes vorsehen, auch nach Empfang eines rechtlich erheblichen Vorteils nach § 6, § 8 oder § 9b, jeweils auch in Verbindung mit den §§ 9c und 9d, in dem Verantwortungsbereich, der nicht zum Bereich der für die Gewährung des rechtlich erheblichen Vorteils zuständigen Stelle gehört, die Beweislast für das Vorliegen der Voraussetzungen für die Gewährung des rechtlich erheblichen Vorteils bis zum Ablauf des vierten Jahres, das dem Kalenderjahr der Gewährung folgt.</w:t>
      </w:r>
    </w:p>
    <w:p>
      <w:r>
        <w:rPr>
          <w:color w:val="555555"/>
          <w:sz w:val="17"/>
        </w:rPr>
        <w:t xml:space="preserve">Zitiervorschlag: § 11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