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MNrVAL — Zusammensetzung der Mitgliedsnummer</w:t>
      </w:r>
    </w:p>
    <w:p>
      <w:r>
        <w:rPr>
          <w:color w:val="555555"/>
          <w:sz w:val="18"/>
        </w:rPr>
        <w:t xml:space="preserve">Mitgliedsnummerverordnung-Landwirtschaft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Mitgliedsnummer setzt sich zusammen aus</w:t>
      </w:r>
    </w:p>
    <w:p>
      <w:pPr>
        <w:ind w:left="420"/>
      </w:pPr>
      <w:r>
        <w:t xml:space="preserve">1. der Bereichsnummer,</w:t>
      </w:r>
    </w:p>
    <w:p>
      <w:pPr>
        <w:ind w:left="420"/>
      </w:pPr>
      <w:r>
        <w:t xml:space="preserve">2. der Seriennummer,</w:t>
      </w:r>
    </w:p>
    <w:p>
      <w:pPr>
        <w:ind w:left="420"/>
      </w:pPr>
      <w:r>
        <w:t xml:space="preserve">3. der Prüfziffer.</w:t>
      </w:r>
    </w:p>
    <w:p>
      <w:r>
        <w:t xml:space="preserve">(2) Die ersten beiden Stellen der Mitgliedsnummer enthalten die Bereichsnummer. Die Bereichsnummern ergeben sich aus der Anlage 1.</w:t>
      </w:r>
    </w:p>
    <w:p>
      <w:r>
        <w:t xml:space="preserve">(3) Die Stellen drei bis zehn der Mitgliedsnummer enthalten die achtstellige Seriennummer. Sie bezeichnet in aufsteigender Reihenfolge die Versicherten.</w:t>
      </w:r>
    </w:p>
    <w:p>
      <w:r>
        <w:t xml:space="preserve">(4) Die elfte Stelle der Mitgliedsnummer enthält die Prüfziffer. Sie wird gemäß der Anlage 2 berechnet.</w:t>
      </w:r>
    </w:p>
    <w:p>
      <w:r>
        <w:rPr>
          <w:color w:val="555555"/>
          <w:sz w:val="17"/>
        </w:rPr>
        <w:t xml:space="preserve">Zitiervorschlag: § 2 MNrVAL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https://recht.nulegal.eu/gesetze/MNrVAL/2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