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MMilchPulvV — Anerkennung der Betriebsstätten</w:t>
      </w:r>
    </w:p>
    <w:p>
      <w:r>
        <w:rPr>
          <w:color w:val="555555"/>
          <w:sz w:val="18"/>
        </w:rPr>
        <w:t xml:space="preserve">Magermilchpulver-Verordnung - öffentliche Lagerhaltung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Anträge auf Anerkennung sind auf vorgeschriebenem Formblatt zu stellen, das bei der Bundesanstalt angefordert werden kann.</w:t>
      </w:r>
    </w:p>
    <w:p>
      <w:r>
        <w:t xml:space="preserve">(2) Die Anerkennung setzt voraus, daß der Antragsteller (Beteiligter) auf Verlangen in zwei Stücken vorlegt:</w:t>
      </w:r>
    </w:p>
    <w:p>
      <w:pPr>
        <w:ind w:left="420"/>
      </w:pPr>
      <w:r>
        <w:t xml:space="preserve">1. Orts- und Lageplan der Betriebsräume, in denen das Magermilchpulver hergestellt und gelagert werden soll,</w:t>
      </w:r>
    </w:p>
    <w:p>
      <w:pPr>
        <w:ind w:left="420"/>
      </w:pPr>
      <w:r>
        <w:t xml:space="preserve">2. Beschreibung der vorhandenen technischen Einrichtungen,</w:t>
      </w:r>
    </w:p>
    <w:p>
      <w:pPr>
        <w:ind w:left="420"/>
      </w:pPr>
      <w:r>
        <w:t xml:space="preserve">3. Beschreibung der vorgesehenen Herstellungsvorgänge und der dabei zu verwendenden Magermilchmengen sowie Art und Menge der Herstellung anderer Erzeugnisse, insbesondere Buttermilchpulver und Molkenpulver, mit Angabe der voraussichtlichen Ausbeute.</w:t>
      </w:r>
    </w:p>
    <w:p>
      <w:r>
        <w:t xml:space="preserve">(3) Die Anerkennung wird dem Beteiligten durch einen Erlaubnisschein erteilt.</w:t>
      </w:r>
    </w:p>
    <w:p>
      <w:r>
        <w:t xml:space="preserve">(4) Wird vorsätzlich oder grob fahrlässig gegen die Bestimmungen des Artikels 1 Abs. 1 und Artikel 3 Abs. 1 der Verordnung (EWG) Nr. 625/78 vom 30. März 1978 (ABl. EG Nr. L 84, S. 19) verstoßen, so kann die Anerkennung befristet entzogen oder widerrufen werden. Im Falle des Widerrufs kann die Anerkennung nicht vor Ablauf von mindestens drei Monaten neu erteilt werden.</w:t>
      </w:r>
    </w:p>
    <w:p>
      <w:r>
        <w:rPr>
          <w:color w:val="555555"/>
          <w:sz w:val="17"/>
        </w:rPr>
        <w:t xml:space="preserve">Zitiervorschlag: § 3 MMilchPulvV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https://recht.nulegal.eu/gesetze/MMilchPulvV/3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