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MMilchPulvV — Anwendungsbereich</w:t>
      </w:r>
    </w:p>
    <w:p>
      <w:r>
        <w:rPr>
          <w:color w:val="555555"/>
          <w:sz w:val="18"/>
        </w:rPr>
        <w:t xml:space="preserve">Magermilchpulver-Verordnung - öffentliche Lagerhaltung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die Durchführung der Rechtsakte der Europäischen Gemeinschaften oder der Europäischen Union hinsichtlich der öffentlichen Lagerhaltung von Magermilchpulver.</w:t>
      </w:r>
    </w:p>
    <w:p>
      <w:r>
        <w:rPr>
          <w:color w:val="555555"/>
          <w:sz w:val="17"/>
        </w:rPr>
        <w:t xml:space="preserve">Zitiervorschlag: § 1 MMilchPulvV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