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MMilchPulvAbsV — Inkrafttreten</w:t>
      </w:r>
    </w:p>
    <w:p>
      <w:r>
        <w:rPr>
          <w:color w:val="555555"/>
          <w:sz w:val="18"/>
        </w:rPr>
        <w:t xml:space="preserve">Magermilchpulverabsatz-Verordnung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15 MMilchPulvAbsV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https://recht.nulegal.eu/gesetze/MMilchPulvAbsV/15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