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MLAnpV 2024 — Inkrafttreten, Außerkrafttreten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01.05.2024 bis 01.01.2026. Dies ist nicht die aktuelle Fassung.</w:t>
      </w:r>
    </w:p>
    <w:p>
      <w:r>
        <w:t xml:space="preserve">Diese Verordnung tritt am 1. Mai 2024 in Kraft. Gleichzeitig tritt die Mindestleistungsanpassungsverordnung vom 9. Mai 2022 (BGBl. I S. 775) außer Kraft.</w:t>
      </w:r>
    </w:p>
    <w:p>
      <w:r>
        <w:rPr>
          <w:color w:val="555555"/>
          <w:sz w:val="17"/>
        </w:rPr>
        <w:t xml:space="preserve">Zitiervorschlag: § 2 MLAnpV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