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MKW-RDiszZustVO (Nordrhein-Westfalen) — Befugnisse des Ministeriums im Einzelfall</w:t>
      </w:r>
    </w:p>
    <w:p>
      <w:r>
        <w:rPr>
          <w:color w:val="555555"/>
          <w:sz w:val="18"/>
        </w:rPr>
        <w:t xml:space="preserve">Ruhestandsdisziplinarzuständigkeitsverordnung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Unterrichtungspflicht nach § 17 Absatz 1 Satz 1 des Landesdisziplinargesetzes vom 16. November 2004 (GV. NRW. S. 624) in der jeweils geltenden Fassung und die Befugnisse des Ministeriums als oberste Dienstbehörde nach § 17 Absatz 1 Satz 2, § 33 Absatz 3, § 35 Absatz 2 und § 77 Absatz 1 des Landesdisziplinargesetzes bleiben unberührt.</w:t>
      </w:r>
    </w:p>
    <w:p>
      <w:r>
        <w:rPr>
          <w:color w:val="555555"/>
          <w:sz w:val="17"/>
        </w:rPr>
        <w:t xml:space="preserve">Zitiervorschlag: § 2 MKW-RDiszZustVO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https://recht.nulegal.eu/gesetze/MKW-RDiszZustVO/2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