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MKUServAusbV — Bestehende Berufsausbildungsverhältnisse</w:t>
      </w:r>
    </w:p>
    <w:p>
      <w:r>
        <w:rPr>
          <w:color w:val="555555"/>
          <w:sz w:val="18"/>
        </w:rPr>
        <w:t xml:space="preserve">Verordnung über die Berufsausbildung zur Fachkraft für Möbel-, Küchen- und Umzugsservice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Berufsausbildungsverhältnisse, die bei Inkrafttreten dieser Verordnung bestehen, können unter Anrechnung der bisher zurückgelegten Ausbildungszeit nach den Vorschriften dieser Verordnung fortgesetzt werden, wenn die Vertragsparteien dies vereinbaren.</w:t>
      </w:r>
    </w:p>
    <w:p>
      <w:r>
        <w:t xml:space="preserve">(2) Berufsausbildungsverhältnisse, die bis zum 16. Juli 2012 begründet worden sind, können unter Anrechnung der bisher zurückgelegten Ausbildungszeit nach den Vorschriften dieser Verordnung fortgesetzt werden, wenn die Vertragsparteien dies vereinbaren.</w:t>
      </w:r>
    </w:p>
    <w:p>
      <w:r>
        <w:rPr>
          <w:color w:val="555555"/>
          <w:sz w:val="17"/>
        </w:rPr>
        <w:t xml:space="preserve">Zitiervorschlag: § 7 MKUServAusbV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https://recht.nulegal.eu/gesetze/MKUServAusbV/7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