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MKUServAusbV — Staatliche Anerkennung des Ausbildungsberufes</w:t>
      </w:r>
    </w:p>
    <w:p>
      <w:r>
        <w:rPr>
          <w:color w:val="555555"/>
          <w:sz w:val="18"/>
        </w:rPr>
        <w:t xml:space="preserve">Verordnung über die Berufsausbildung zur Fachkraft für Möbel-, Küchen- und Umzugsservice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zur Fachkraft für Möbel-, Küchen- und Umzugsservice wird nach § 4 Absatz 1 des Berufsbildungsgesetzes staatlich anerkannt.</w:t>
      </w:r>
    </w:p>
    <w:p>
      <w:r>
        <w:rPr>
          <w:color w:val="555555"/>
          <w:sz w:val="17"/>
        </w:rPr>
        <w:t xml:space="preserve">Zitiervorschlag: § 1 MKUServAusbV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https://recht.nulegal.eu/gesetze/MKUServAusbV/1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