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MKSeuchV 2005 — Kontrollzone</w:t>
      </w:r>
    </w:p>
    <w:p>
      <w:r>
        <w:rPr>
          <w:color w:val="555555"/>
          <w:sz w:val="18"/>
        </w:rPr>
        <w:t xml:space="preserve">MKS-Verordnung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Hat die zuständige Behörde eine Anordnung nach § 3 Absatz 1 Satz 1 getroffen, kann sie zusätzlich, sofern es aus Gründen der Seuchenbekämpfung erforderlich ist,</w:t>
      </w:r>
    </w:p>
    <w:p>
      <w:pPr>
        <w:ind w:left="420"/>
      </w:pPr>
      <w:r>
        <w:t xml:space="preserve">1. um den Verdachtsbetrieb für längstens 72 Stunden eine Kontrollzone festlegen,</w:t>
      </w:r>
    </w:p>
    <w:p>
      <w:pPr>
        <w:ind w:left="420"/>
      </w:pPr>
      <w:r>
        <w:t xml:space="preserve">2. anordnen, dass für längstens 72 Stunden</w:t>
      </w:r>
    </w:p>
    <w:p>
      <w:pPr>
        <w:ind w:left="780"/>
      </w:pPr>
      <w:r>
        <w:t xml:space="preserve">a) Pferde, Geflügel und sonstige Tiere nicht empfänglicher Arten, die das Virus der Maul- und Klauenseuche verschleppen können, aus der Kontrollzone nicht verbracht werden dürfen,</w:t>
      </w:r>
    </w:p>
    <w:p>
      <w:pPr>
        <w:ind w:left="780"/>
      </w:pPr>
      <w:r>
        <w:t xml:space="preserve">b) bestimmte Verkehrswege in der Kontrollzone gesperrt werden.</w:t>
      </w:r>
    </w:p>
    <w:p>
      <w:r>
        <w:t xml:space="preserve">Dabei kann sie für Einhufer Ausnahmen von Satz 1 Nummer 2 Buchstabe a vorsehen, sofern sichergestellt ist, dass die Voraussetzungen nach Anhang VI Nummer 2.1 der Richtlinie 2003/85/EG erfüllt sind. Im Übrigen gilt für die in der Kontrollzone gelegenen Betriebe § 3 Absatz 1 Satz 1, 2 Nummer 1 und Satz 3 und 5 sowie Absatz 2 und 3 entsprechend.</w:t>
      </w:r>
    </w:p>
    <w:p>
      <w:r>
        <w:t xml:space="preserve">(2) Die Schutzmaßregeln nach Absatz 1 sind auch dann zur Seuchenbekämpfung erforderlich, wenn</w:t>
      </w:r>
    </w:p>
    <w:p>
      <w:pPr>
        <w:ind w:left="420"/>
      </w:pPr>
      <w:r>
        <w:t xml:space="preserve">1. sich der Verdachtsbetrieb in einem Gebiet mit einer hohen Dichte an Tieren empfänglicher Arten befindet,</w:t>
      </w:r>
    </w:p>
    <w:p>
      <w:pPr>
        <w:ind w:left="420"/>
      </w:pPr>
      <w:r>
        <w:t xml:space="preserve">2. häufige Kontakte von Personen und Tieren mit Tieren empfänglicher Arten stattgefunden haben oder stattfinden,</w:t>
      </w:r>
    </w:p>
    <w:p>
      <w:pPr>
        <w:ind w:left="420"/>
      </w:pPr>
      <w:r>
        <w:t xml:space="preserve">3. Verzögerungen bei der Mitteilung von Verdachtsfällen oder unzulängliche Informationen über die möglichen Ursachen des Verdachts oder die Übertragungswege des Virus der Maul- und Klauenseuche vorliegen.</w:t>
      </w:r>
    </w:p>
    <w:p>
      <w:r>
        <w:rPr>
          <w:color w:val="555555"/>
          <w:sz w:val="17"/>
        </w:rPr>
        <w:t xml:space="preserve">Zitiervorschlag: § 5 MKSeuchV 2005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https://recht.nulegal.eu/gesetze/MKSeuchV%202005/5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