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MKSeuchV 2005 — Anordnungen für weitere Betriebe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zuständige Behörde ordnet, sofern die Seuchenlage dies erfordert, für weitere Betriebe Maßnahmen nach § 3 an, insbesondere wenn für Betriebe auf Grund ihres Standorts, ihrer Bauweise oder ihrer Betriebsstruktur eine Seucheneinschleppung nicht auszuschließen ist oder wenn Tiere empfänglicher Arten aus einem Verdachtsbetrieb eingestellt worden sind.</w:t>
      </w:r>
    </w:p>
    <w:p>
      <w:r>
        <w:rPr>
          <w:color w:val="555555"/>
          <w:sz w:val="17"/>
        </w:rPr>
        <w:t xml:space="preserve">Zitiervorschlag: § 4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