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MKSeuchV 2005 — Berechnung von Fristen</w:t>
      </w:r>
    </w:p>
    <w:p>
      <w:r>
        <w:rPr>
          <w:color w:val="555555"/>
          <w:sz w:val="18"/>
        </w:rPr>
        <w:t xml:space="preserve">MKS-Verordnung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die Berechnung von Fristen nach dieser Verordnung findet § 193 des Bürgerlichen Gesetzbuchs keine Anwendung.</w:t>
      </w:r>
    </w:p>
    <w:p>
      <w:r>
        <w:rPr>
          <w:color w:val="555555"/>
          <w:sz w:val="17"/>
        </w:rPr>
        <w:t xml:space="preserve">Zitiervorschlag: § 35 MKSeuchV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https://recht.nulegal.eu/gesetze/MKSeuchV%202005/35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