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33a MKSeuchV 2005 — Erlaubnis für das Arbeiten mit MKS-Virus</w:t>
      </w:r>
    </w:p>
    <w:p>
      <w:r>
        <w:rPr>
          <w:color w:val="555555"/>
          <w:sz w:val="18"/>
        </w:rPr>
        <w:t xml:space="preserve">MKS-Verordnung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ein Labor oder eine Einrichtung betreibt, in dem oder in der mit lebendem Virus der Maul- und Klauenseuche gearbeitet wird, bedarf der Erlaubnis der zuständigen Behörde.</w:t>
      </w:r>
    </w:p>
    <w:p>
      <w:r>
        <w:t xml:space="preserve">(2) Die zuständige Behörde erteilt die Erlaubnis nach Absatz 1 nur, soweit die Voraussetzungen</w:t>
      </w:r>
    </w:p>
    <w:p>
      <w:pPr>
        <w:ind w:left="420"/>
      </w:pPr>
      <w:r>
        <w:t xml:space="preserve">1. nach § 2 der Verordnung über das Arbeiten mit Tierseuchenerregern vorliegen und</w:t>
      </w:r>
    </w:p>
    <w:p>
      <w:pPr>
        <w:ind w:left="420"/>
      </w:pPr>
      <w:r>
        <w:t xml:space="preserve">2. des § 33 erfüllt sind.</w:t>
      </w:r>
    </w:p>
    <w:p>
      <w:r>
        <w:rPr>
          <w:color w:val="555555"/>
          <w:sz w:val="17"/>
        </w:rPr>
        <w:t xml:space="preserve">Zitiervorschlag: § 33a MKSeuchV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https://recht.nulegal.eu/gesetze/MKSeuchV%202005/33a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