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MKSeuchV 2005 — Anforderungen an das Arbeiten mit MKS-Virus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Laboratorien und Einrichtungen, die</w:t>
      </w:r>
    </w:p>
    <w:p>
      <w:pPr>
        <w:ind w:left="420"/>
      </w:pPr>
      <w:r>
        <w:t xml:space="preserve">1. zu Forschungs-, Diagnose- oder Herstellungszwecken mit lebenden Virus der Maul- und Klauenseuche arbeiten, müssen die Anforderungen des Anhangs XII Nummer 1 der Richtlinie 2003/85/EG erfüllen,</w:t>
      </w:r>
    </w:p>
    <w:p>
      <w:pPr>
        <w:ind w:left="420"/>
      </w:pPr>
      <w:r>
        <w:t xml:space="preserve">2. diagnostische Untersuchungen auf das Virus der Maul- und Klauenseuche durchführen, ohne bei diesen Untersuchungen lebendes Virus der Maul- und Klauenseuche einzusetzen, müssen die Anforderungen des Anhangs XV Nummer 13 der Richtlinie 2003/85/EG erfüllen,</w:t>
      </w:r>
    </w:p>
    <w:p>
      <w:pPr>
        <w:ind w:left="420"/>
      </w:pPr>
      <w:r>
        <w:t xml:space="preserve">3. Aufgaben als nationales Referenzlabor für Maul- und Klauenseuche wahrnehmen, müssen zusätzlich zu den Anforderungen nach Nummer 1 und 2 die Anforderungen des Anhangs XV Nummer 2 bis 4 und 6 bis 12 der Richtlinie 2003/85/EG erfüllen.</w:t>
      </w:r>
    </w:p>
    <w:p>
      <w:r>
        <w:rPr>
          <w:color w:val="555555"/>
          <w:sz w:val="17"/>
        </w:rPr>
        <w:t xml:space="preserve">Zitiervorschlag: § 33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