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MKSeuchV 2005 — Tierseuchenbekämpfungszentrum</w:t>
      </w:r>
    </w:p>
    <w:p>
      <w:r>
        <w:rPr>
          <w:color w:val="555555"/>
          <w:sz w:val="18"/>
        </w:rPr>
        <w:t xml:space="preserve">MKS-Verordnung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zuständigen obersten Landesbehörden tragen dafür Sorge, dass bei einem Ausbruch von Maul- und Klauenseuche unverzüglich ein Tierseuchenbekämpfungszentrum nach Maßgabe des Artikels 75 der Richtlinie 2003/85/EG eingerichtet wird.</w:t>
      </w:r>
    </w:p>
    <w:p>
      <w:r>
        <w:t xml:space="preserve">(2) Die zuständigen Behörden tragen dafür Sorge, dass bei einem Ausbruch von Maul- und Klauenseuche unverzüglich ein Tierseuchenbekämpfungszentrum nach Maßgabe des Artikels 77 der Richtlinie 2003/85/EG eingerichtet wird.</w:t>
      </w:r>
    </w:p>
    <w:p>
      <w:r>
        <w:rPr>
          <w:color w:val="555555"/>
          <w:sz w:val="17"/>
        </w:rPr>
        <w:t xml:space="preserve">Zitiervorschlag: § 32 MKSeuchV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https://recht.nulegal.eu/gesetze/MKSeuchV%202005/32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