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31a MKSeuchV 2005 — Weitergehende Maßnahmen</w:t>
      </w:r>
    </w:p>
    <w:p>
      <w:r>
        <w:rPr>
          <w:color w:val="555555"/>
          <w:sz w:val="18"/>
        </w:rPr>
        <w:t xml:space="preserve">MKS-Verordnung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Befugnis der zuständigen Behörde, bei Feststellung der Maul- und Klauenseuche weitergehende Maßnahmen nach § 38 Absatz 11 in Verbindung mit § 6 Absatz 1 und 3 bis 5 des Tiergesundheitsgesetzes anzuordnen, soweit diese zur Tierseuchenbekämpfung erforderlich sind und Rechtsakte der Europäischen Gemeinschaften oder der Europäischen Union nicht entgegenstehen, bleibt unberührt.</w:t>
      </w:r>
    </w:p>
    <w:p>
      <w:r>
        <w:rPr>
          <w:color w:val="555555"/>
          <w:sz w:val="17"/>
        </w:rPr>
        <w:t xml:space="preserve">Zitiervorschlag: § 31a MKSeuchV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https://recht.nulegal.eu/gesetze/MKSeuchV%202005/31a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31a MKSeuchV 2005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