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MKSeuchV 2005 — Behördliche Anordnungen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 Behörde kann, soweit es aus Gründen der Seuchenbekämpfung erforderlich ist,</w:t>
      </w:r>
    </w:p>
    <w:p>
      <w:pPr>
        <w:ind w:left="420"/>
      </w:pPr>
      <w:r>
        <w:t xml:space="preserve">1. für Tiere empfänglicher Arten innerhalb eines bestimmten Gebiets eine amtstierärztliche Untersuchung auf Maul- und Klauenseuche einschließlich der Entnahme erforderlicher Proben zur Untersuchung,</w:t>
      </w:r>
    </w:p>
    <w:p>
      <w:pPr>
        <w:ind w:left="420"/>
      </w:pPr>
      <w:r>
        <w:t xml:space="preserve">2. für Tiere empfänglicher Arten vor deren Verbringen aus einem Betrieb</w:t>
      </w:r>
    </w:p>
    <w:p>
      <w:pPr>
        <w:ind w:left="780"/>
      </w:pPr>
      <w:r>
        <w:t xml:space="preserve">a) eine Untersuchung,</w:t>
      </w:r>
    </w:p>
    <w:p>
      <w:pPr>
        <w:ind w:left="780"/>
      </w:pPr>
      <w:r>
        <w:t xml:space="preserve">b) eine Absonderung einschließlich Aufstallung,</w:t>
      </w:r>
    </w:p>
    <w:p>
      <w:pPr>
        <w:ind w:left="780"/>
      </w:pPr>
      <w:r>
        <w:t xml:space="preserve">c) eine behördliche Beobachtung,</w:t>
      </w:r>
    </w:p>
    <w:p>
      <w:pPr>
        <w:ind w:left="420"/>
      </w:pPr>
      <w:r>
        <w:t xml:space="preserve">3. eine Untersuchung der Erzeugnisse von Tieren empfänglicher Arten</w:t>
      </w:r>
    </w:p>
    <w:p>
      <w:r>
        <w:t xml:space="preserve">anordnen.</w:t>
      </w:r>
    </w:p>
    <w:p>
      <w:r>
        <w:rPr>
          <w:color w:val="555555"/>
          <w:sz w:val="17"/>
        </w:rPr>
        <w:t xml:space="preserve">Zitiervorschlag: § 31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