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2a MKSeuchV 2005 — Früherkennung</w:t>
      </w:r>
    </w:p>
    <w:p>
      <w:r>
        <w:rPr>
          <w:color w:val="555555"/>
          <w:sz w:val="18"/>
        </w:rPr>
        <w:t xml:space="preserve">MKS-Verordnung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Treten innerhalb von sieben Tagen in einem Bestand mit Wiederkäuern</w:t>
      </w:r>
    </w:p>
    <w:p>
      <w:pPr>
        <w:ind w:left="420"/>
      </w:pPr>
      <w:r>
        <w:t xml:space="preserve">1. gehäuft fieberhafte Erkrankungen,</w:t>
      </w:r>
    </w:p>
    <w:p>
      <w:pPr>
        <w:ind w:left="420"/>
      </w:pPr>
      <w:r>
        <w:t xml:space="preserve">2. eine erhebliche Verminderung der Milchleistung oder</w:t>
      </w:r>
    </w:p>
    <w:p>
      <w:pPr>
        <w:ind w:left="420"/>
      </w:pPr>
      <w:r>
        <w:t xml:space="preserve">3. gehäufte Todesfälle bei Jungtieren</w:t>
      </w:r>
    </w:p>
    <w:p>
      <w:r>
        <w:t xml:space="preserve">auf und ist die Ursache dafür tierärztlich nicht hinreichend sicher festgestellt, so hat der Tierhalter unverzüglich durch einen Tierarzt das Vorliegen einer Infektion mit dem Virus der Maul- und Klauenseuche durch geeignete Untersuchungen ausschließen zu lassen.</w:t>
      </w:r>
    </w:p>
    <w:p>
      <w:r>
        <w:rPr>
          <w:color w:val="555555"/>
          <w:sz w:val="17"/>
        </w:rPr>
        <w:t xml:space="preserve">Zitiervorschlag: § 2a MKSeuchV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https://recht.nulegal.eu/gesetze/MKSeuchV%202005/2a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