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MKSeuchV 2005 — Anwendungsvorrang</w:t>
      </w:r>
    </w:p>
    <w:p>
      <w:r>
        <w:rPr>
          <w:color w:val="555555"/>
          <w:sz w:val="18"/>
        </w:rPr>
        <w:t xml:space="preserve">MKS-Verordnung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Liegt das Impfgebiet ganz oder teilweise in einem Sperrbezirk oder einem Beobachtungsgebiet, gelten in dem Sperrbezirk die §§ 9 und 10 und in dem Beobachtungsgebiet die §§ 11 und 12. Die §§ 17 bis 21 finden insoweit keine Anwendung.</w:t>
      </w:r>
    </w:p>
    <w:p>
      <w:r>
        <w:rPr>
          <w:color w:val="555555"/>
          <w:sz w:val="17"/>
        </w:rPr>
        <w:t xml:space="preserve">Zitiervorschlag: § 22 MKSeuchV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https://recht.nulegal.eu/gesetze/MKSeuchV%202005/22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