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20 MKSeuchV 2005 — Maßregeln bei Feststellung von Tieren mit Antikörpern gegen Nichtstrukturproteine</w:t>
      </w:r>
    </w:p>
    <w:p>
      <w:r>
        <w:rPr>
          <w:color w:val="555555"/>
          <w:sz w:val="18"/>
        </w:rPr>
        <w:t xml:space="preserve">MKS-Verordnung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Betrieben, in denen bei einer serologischen Untersuchung nach § 19 Tiere mit Antikörpern gegen Nichtstrukturproteine des Virus der Maul- und Klauenseuche festgestellt worden sind, das Virus der Maul- und Klauenseuche aber nicht nachgewiesen worden ist, ordnet die zuständige Behörde</w:t>
      </w:r>
    </w:p>
    <w:p>
      <w:pPr>
        <w:ind w:left="420"/>
      </w:pPr>
      <w:r>
        <w:t xml:space="preserve">1. die Tötung und unschädliche Beseitigung aller Tiere empfänglicher Arten des Betriebs oder</w:t>
      </w:r>
    </w:p>
    <w:p>
      <w:pPr>
        <w:ind w:left="420"/>
      </w:pPr>
      <w:r>
        <w:t xml:space="preserve">2. die Tötung und unschädliche Beseitigung der Tiere des Betriebs, bei denen Antikörper gegen Nichtstrukturproteine des Virus der Maul- und Klauenseuche festgestellt worden sind, die Schlachtung der nicht getöteten Tiere empfänglicher Arten des Betriebs und die Reinigung und Desinfektion des Betriebs nach Maßgabe des Anhangs IV der Richtlinie 2003/85/EG</w:t>
      </w:r>
    </w:p>
    <w:p>
      <w:r>
        <w:t xml:space="preserve">an.</w:t>
      </w:r>
    </w:p>
    <w:p>
      <w:r>
        <w:rPr>
          <w:color w:val="555555"/>
          <w:sz w:val="17"/>
        </w:rPr>
        <w:t xml:space="preserve">Zitiervorschlag: § 20 MKSeuchV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https://recht.nulegal.eu/gesetze/MKSeuchV%202005/20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20 MKSeuchV 2005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