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MKSeuchV 2005 — Maßregeln vom 31. Tag nach Beendigung der Notimpfung bis zur Beendigung der Untersuchungen</w:t>
      </w:r>
    </w:p>
    <w:p>
      <w:r>
        <w:rPr>
          <w:color w:val="555555"/>
          <w:sz w:val="18"/>
        </w:rPr>
        <w:t xml:space="preserve">MKS-Verordnung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der Zeit vom 31. Tag nach Beendigung der Notimpfung bis zur Beendigung der Untersuchungen nach § 19 gilt für das Impfgebiet Folgendes:</w:t>
      </w:r>
    </w:p>
    <w:p>
      <w:pPr>
        <w:ind w:left="420"/>
      </w:pPr>
      <w:r>
        <w:t xml:space="preserve">1. Tiere empfänglicher Arten dürfen, vorbehaltlich des Absatzes 2, aus dem Betrieb nicht verbracht werden.</w:t>
      </w:r>
    </w:p>
    <w:p>
      <w:pPr>
        <w:ind w:left="420"/>
      </w:pPr>
      <w:r>
        <w:t xml:space="preserve">2. Frisches Fleisch, ausgenommen Innereien, darf</w:t>
      </w:r>
    </w:p>
    <w:p>
      <w:pPr>
        <w:ind w:left="780"/>
      </w:pPr>
      <w:r>
        <w:t xml:space="preserve">a) in den Fällen, in denen das Fleisch von geimpften Wiederkäuern erschlachtet worden ist, nur in den Verkehr gebracht werden, sofern</w:t>
      </w:r>
    </w:p>
    <w:p>
      <w:pPr>
        <w:ind w:left="1140"/>
      </w:pPr>
      <w:r>
        <w:t xml:space="preserve">aa) die Schlachtstätte, in der das Fleisch erschlachtet worden ist, tierärztlich überwacht wird,</w:t>
      </w:r>
    </w:p>
    <w:p>
      <w:pPr>
        <w:ind w:left="1140"/>
      </w:pPr>
      <w:r>
        <w:t xml:space="preserve">bb) das Fleisch mit einem Genusstauglichkeitskennzeichen nach Artikel 5 Absatz 1 Buchstabe a der Verordnung (EG) Nr. 853/2004 gekennzeichnet ist und</w:t>
      </w:r>
    </w:p>
    <w:p>
      <w:pPr>
        <w:ind w:left="1140"/>
      </w:pPr>
      <w:r>
        <w:t xml:space="preserve">cc) sichergestellt ist, dass das Fleisch</w:t>
      </w:r>
    </w:p>
    <w:p>
      <w:pPr>
        <w:ind w:left="1500"/>
      </w:pPr>
      <w:r>
        <w:t xml:space="preserve">aaa) vor der Verarbeitung im Sinne des Anhangs VIII Teil A Nummer 1, 3 oder 4 der Richtlinie 2003/85/EG behandelt oder von Tieren aus außerhalb des Impfgebiets gelegenen Betrieben erschlachtet wird und</w:t>
      </w:r>
    </w:p>
    <w:p>
      <w:pPr>
        <w:ind w:left="1500"/>
      </w:pPr>
      <w:r>
        <w:t xml:space="preserve">bbb) von frischem Fleisch, das nicht aus dem Impfgebiet verbracht werden soll, getrennt gelagert und transportiert wird,</w:t>
      </w:r>
    </w:p>
    <w:p>
      <w:pPr>
        <w:ind w:left="780"/>
      </w:pPr>
      <w:r>
        <w:t xml:space="preserve">b) in den Fällen, in denen das Fleisch von geimpften Schweinen erschlachtet worden ist, nur in den Verkehr gebracht werden, sofern die Voraussetzungen nach § 17 Absatz 1 Nummer 2 erfüllt sind.</w:t>
      </w:r>
    </w:p>
    <w:p>
      <w:pPr>
        <w:ind w:left="420"/>
      </w:pPr>
      <w:r>
        <w:t xml:space="preserve">3. Hackfleisch und Fleischzubereitungen, das oder die aus frischem Fleisch geimpfter Wiederkäuer unter den Voraussetzungen der Nummer 2 Buchstabe a gewonnen worden ist oder gewonnen worden sind, darf oder dürfen nur in den Verkehr gebracht werden, sofern das Hackfleisch oder die Fleischzubereitung mit einem Identitätskennzeichen nach Artikel 5 Absatz 1 Buchstabe b der Verordnung (EG) Nr. 853/2004 gekennzeichnet worden ist.</w:t>
      </w:r>
    </w:p>
    <w:p>
      <w:pPr>
        <w:ind w:left="420"/>
      </w:pPr>
      <w:r>
        <w:t xml:space="preserve">4. Für die Abgabe von Rohmilch, die von geimpften Tieren empfänglicher Arten gewonnen worden ist, gilt § 17 Absatz 1 Nummer 4 bis 6 und Absatz 3 entsprechend.</w:t>
      </w:r>
    </w:p>
    <w:p>
      <w:pPr>
        <w:ind w:left="420"/>
      </w:pPr>
      <w:r>
        <w:t xml:space="preserve">5. Für die Gewinnung von</w:t>
      </w:r>
    </w:p>
    <w:p>
      <w:pPr>
        <w:ind w:left="780"/>
      </w:pPr>
      <w:r>
        <w:t xml:space="preserve">a) Eizellen und Embryonen von Tieren empfänglicher Arten gilt § 17 Absatz 1 Nummer 7,</w:t>
      </w:r>
    </w:p>
    <w:p>
      <w:pPr>
        <w:ind w:left="780"/>
      </w:pPr>
      <w:r>
        <w:t xml:space="preserve">b) Samen von Tieren empfänglicher Arten gilt § 17 Absatz 1 Nummer 8 und Absatz 4</w:t>
      </w:r>
    </w:p>
    <w:p>
      <w:pPr>
        <w:ind w:left="420"/>
      </w:pPr>
      <w:r>
        <w:t xml:space="preserve">entsprechend.</w:t>
      </w:r>
    </w:p>
    <w:p>
      <w:r>
        <w:t xml:space="preserve">(2) Die zuständige Behörde kann Ausnahmen von Absatz 1 Nummer 1 für das Verbringen von Tieren empfänglicher Arten zur sofortigen Schlachtung genehmigen, sofern sichergestellt ist, dass</w:t>
      </w:r>
    </w:p>
    <w:p>
      <w:pPr>
        <w:ind w:left="420"/>
      </w:pPr>
      <w:r>
        <w:t xml:space="preserve">1. die Tiere während des Transports und in der Schlachtstätte getrennt von anderen Tieren empfänglicher Arten gehalten werden,</w:t>
      </w:r>
    </w:p>
    <w:p>
      <w:pPr>
        <w:ind w:left="420"/>
      </w:pPr>
      <w:r>
        <w:t xml:space="preserve">2. die Transportfahrzeuge vor und nach dem Entladen der Tiere gereinigt und desinfiziert werden und dies im Desinfektionskontrollbuch nach § 22 der Viehverkehrsverordnung eingetragen wird,</w:t>
      </w:r>
    </w:p>
    <w:p>
      <w:pPr>
        <w:ind w:left="420"/>
      </w:pPr>
      <w:r>
        <w:t xml:space="preserve">3. die Tiere von einer amtstierärztlichen Bescheinigung nach dem Muster der Anlage 2 begleitet werden, aus der sich ergibt, dass alle Tiere empfänglicher Arten des Betriebs klinisch nach Anhang III Nummer 1 der Richtlinie 2003/85/EG und serologisch nach Anhang III Nummer 2.2 der Richtlinie 2003/85/EG mit negativem Ergebnis auf Maul- und Klauenseuche untersucht worden sind und</w:t>
      </w:r>
    </w:p>
    <w:p>
      <w:pPr>
        <w:ind w:left="420"/>
      </w:pPr>
      <w:r>
        <w:t xml:space="preserve">4. die Tiere in der Schlachtstätte innerhalb von 24 Stunden vor der Schlachtung erneut klinisch nach Anhang III Nummer 1 der Richtlinie 2003/85/EG mit negativem Ergebnis auf Maul- und Klauenseuche untersucht werden.</w:t>
      </w:r>
    </w:p>
    <w:p>
      <w:r>
        <w:rPr>
          <w:color w:val="555555"/>
          <w:sz w:val="17"/>
        </w:rPr>
        <w:t xml:space="preserve">Zitiervorschlag: § 18 MKSeuchV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https://recht.nulegal.eu/gesetze/MKSeuchV%202005/18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