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MKSeuchV 2005 — Schutzmaßregeln für den Kontaktbetrieb</w:t>
      </w:r>
    </w:p>
    <w:p>
      <w:r>
        <w:rPr>
          <w:color w:val="555555"/>
          <w:sz w:val="18"/>
        </w:rPr>
        <w:t xml:space="preserve">MKS-Verordnung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Führen die epidemiologischen Nachforschungen nach § 3 Absatz 1 Satz 2 zu dem Ergebnis, dass die Maul- und Klauenseuche aus einem anderen Betrieb eingeschleppt oder bereits in andere Betriebe weiterverschleppt worden sein kann oder bestehen Anhaltspunkte dafür, dass die Maul- und Klauenseuche durch Wildtiere empfänglicher Arten in einen Betrieb eingeschleppt worden ist, so ordnet die zuständige Behörde für diese Betriebe (Kontaktbetriebe) die behördliche Beobachtung an.</w:t>
      </w:r>
    </w:p>
    <w:p>
      <w:r>
        <w:t xml:space="preserve">(2) Für die der behördlichen Beobachtung unterstellten Kontaktbetriebe</w:t>
      </w:r>
    </w:p>
    <w:p>
      <w:pPr>
        <w:ind w:left="420"/>
      </w:pPr>
      <w:r>
        <w:t xml:space="preserve">1. ordnet die zuständige Behörde eine klinische Untersuchung nach Anhang III Nummer 1 der Richtlinie 2003/85/EG an,</w:t>
      </w:r>
    </w:p>
    <w:p>
      <w:pPr>
        <w:ind w:left="420"/>
      </w:pPr>
      <w:r>
        <w:t xml:space="preserve">2. kann die zuständige Behörde eine serologische Untersuchung nach Anhang III Nummer 2.1.1.1 der Richtlinie 2003/85/EG oder eine virologische Untersuchung anordnen,</w:t>
      </w:r>
    </w:p>
    <w:p>
      <w:pPr>
        <w:ind w:left="420"/>
      </w:pPr>
      <w:r>
        <w:t xml:space="preserve">3. kann die zuständige Behörde die Tötung und unschädliche Beseitigung der Tiere empfänglicher Arten des Betriebs anordnen, sofern dies aus Gründen der Seuchenbekämpfung erforderlich ist,</w:t>
      </w:r>
    </w:p>
    <w:p>
      <w:pPr>
        <w:ind w:left="420"/>
      </w:pPr>
      <w:r>
        <w:t xml:space="preserve">4. gilt § 3 Absatz 2 Satz 1 Nummer 2 und 3 Buchstabe b und Nummer 4 bis 9 sowie Absatz 2 Satz 2 entsprechend.</w:t>
      </w:r>
    </w:p>
    <w:p>
      <w:r>
        <w:rPr>
          <w:color w:val="555555"/>
          <w:sz w:val="17"/>
        </w:rPr>
        <w:t xml:space="preserve">Zitiervorschlag: § 14 MKSeuchV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https://recht.nulegal.eu/gesetze/MKSeuchV%202005/14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