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MKSchulFV (Brandenburg) — Inkrafttreten</w:t>
      </w:r>
    </w:p>
    <w:p>
      <w:r>
        <w:rPr>
          <w:color w:val="555555"/>
          <w:sz w:val="18"/>
        </w:rPr>
        <w:t xml:space="preserve">Musik- und Kunstschulförderverordnung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mit Wirkung vom 1. Januar 2014 in Kraft.</w:t>
      </w:r>
    </w:p>
    <w:p>
      <w:r>
        <w:t xml:space="preserve">Potsdam, den 28. Juli 2014</w:t>
      </w:r>
    </w:p>
    <w:p>
      <w:r>
        <w:t xml:space="preserve">Die Ministerin für Wissenschaft, Forschung und Kultur</w:t>
      </w:r>
    </w:p>
    <w:p>
      <w:r>
        <w:t xml:space="preserve">Prof. Dr.-Ing. Dr. Sabine Kunst</w:t>
      </w:r>
    </w:p>
    <w:p>
      <w:r>
        <w:rPr>
          <w:color w:val="555555"/>
          <w:sz w:val="17"/>
        </w:rPr>
        <w:t xml:space="preserve">Zitiervorschlag: § 5 MKSchulFV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https://recht.nulegal.eu/gesetze/MKSchulFV/5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