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MKSchulFV (Brandenburg) — Aufteilung des Zuschusses</w:t>
      </w:r>
    </w:p>
    <w:p>
      <w:r>
        <w:rPr>
          <w:color w:val="555555"/>
          <w:sz w:val="18"/>
        </w:rPr>
        <w:t xml:space="preserve">Musik- und Kunstschulförderverordnung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Der Zuschuss gemäß § 6 Absatz 2 Satz 1 des Brandenburgischen Musik- und Kunstschulgesetzes wird wie folgt aufgeteilt:</w:t>
      </w:r>
    </w:p>
    <w:p>
      <w:r>
        <w:t xml:space="preserve">Musikschulen: 4 727 000 Euro,</w:t>
      </w:r>
    </w:p>
    <w:p>
      <w:r>
        <w:t xml:space="preserve">Kunstschulen einschließlich Fachbereiche gemäß § 3 Absatz 4 Nummer 1 des Brandenburgischen Musik- und Kunstschulgesetzes an Musikschulen: 400 000 Euro.</w:t>
      </w:r>
    </w:p>
    <w:p>
      <w:r>
        <w:rPr>
          <w:color w:val="555555"/>
          <w:sz w:val="17"/>
        </w:rPr>
        <w:t xml:space="preserve">Zitiervorschlag: § 1 MKSchulFV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https://recht.nulegal.eu/gesetze/MKSchulFV/1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