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MKSBeih2025V (Brandenburg) — Rücknahme, Widerruf, Rückforderung und Verzinsung</w:t>
      </w:r>
    </w:p>
    <w:p>
      <w:r>
        <w:rPr>
          <w:color w:val="555555"/>
          <w:sz w:val="18"/>
        </w:rPr>
        <w:t xml:space="preserve">MKS-Beihilfen-Verordnung-2025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 Unrecht, rechtsgrundlos oder zu viel bezahlte Beihilfen werden zuzüglich Zinsen durch die zuständige Stelle von der oder dem Begünstigten entsprechend den §§ 10 und 14 des Marktorganisationsgesetzes zurückgefordert.</w:t>
      </w:r>
    </w:p>
    <w:p>
      <w:r>
        <w:rPr>
          <w:color w:val="555555"/>
          <w:sz w:val="17"/>
        </w:rPr>
        <w:t xml:space="preserve">Zitiervorschlag: § 13 MKSBeih2025V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https://recht.nulegal.eu/gesetze/MKSBeih2025V/13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