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MISSAufstV — Prüfungsordnung</w:t>
      </w:r>
    </w:p>
    <w:p>
      <w:r>
        <w:rPr>
          <w:color w:val="555555"/>
          <w:sz w:val="18"/>
        </w:rPr>
        <w:t xml:space="preserve">Verordnung über den Aufstieg in den höheren nichttechnischen Verwaltungsdienst über den Masterstudiengang „Intelligence and Security Studies“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Prüfungsordnung regelt insbesondere:</w:t>
      </w:r>
    </w:p>
    <w:p>
      <w:pPr>
        <w:ind w:left="420"/>
      </w:pPr>
      <w:r>
        <w:t xml:space="preserve">1. die Voraussetzungen für den Zugang zum Studium,</w:t>
      </w:r>
    </w:p>
    <w:p>
      <w:pPr>
        <w:ind w:left="420"/>
      </w:pPr>
      <w:r>
        <w:t xml:space="preserve">2. die angebotenen Vertiefungsrichtungen und die ihnen zugeordneten akademischen Grade,</w:t>
      </w:r>
    </w:p>
    <w:p>
      <w:pPr>
        <w:ind w:left="420"/>
      </w:pPr>
      <w:r>
        <w:t xml:space="preserve">3. die Zahl der Module und die Leistungspunkte, die in jedem Modul vergeben werden,</w:t>
      </w:r>
    </w:p>
    <w:p>
      <w:pPr>
        <w:ind w:left="420"/>
      </w:pPr>
      <w:r>
        <w:t xml:space="preserve">4. die Voraussetzungen für die Zulassung zu Prüfungen und für den Erwerb der Zulassungsvoraussetzungen,</w:t>
      </w:r>
    </w:p>
    <w:p>
      <w:pPr>
        <w:ind w:left="420"/>
      </w:pPr>
      <w:r>
        <w:t xml:space="preserve">5. das Prüfungsverfahren,</w:t>
      </w:r>
    </w:p>
    <w:p>
      <w:pPr>
        <w:ind w:left="420"/>
      </w:pPr>
      <w:r>
        <w:t xml:space="preserve">6. die Prüfungsformen und die Dauer oder den Umfang der Prüfungsformen,</w:t>
      </w:r>
    </w:p>
    <w:p>
      <w:pPr>
        <w:ind w:left="420"/>
      </w:pPr>
      <w:r>
        <w:t xml:space="preserve">7. die Aufgaben und die Zusammensetzung des Prüfungsausschusses, der Prüfenden und der Beisitzenden,</w:t>
      </w:r>
    </w:p>
    <w:p>
      <w:pPr>
        <w:ind w:left="420"/>
      </w:pPr>
      <w:r>
        <w:t xml:space="preserve">8. die Grundsätze für die Bewertung der einzelnen Prüfungsleistungen und für die Ermittlung der Gesamtnote,</w:t>
      </w:r>
    </w:p>
    <w:p>
      <w:pPr>
        <w:ind w:left="420"/>
      </w:pPr>
      <w:r>
        <w:t xml:space="preserve">9. die Wiederholung von Prüfungen,</w:t>
      </w:r>
    </w:p>
    <w:p>
      <w:pPr>
        <w:ind w:left="420"/>
      </w:pPr>
      <w:r>
        <w:t xml:space="preserve">10. die Folgen von Verstößen gegen Prüfungsvorschriften,</w:t>
      </w:r>
    </w:p>
    <w:p>
      <w:pPr>
        <w:ind w:left="420"/>
      </w:pPr>
      <w:r>
        <w:t xml:space="preserve">11. das Verfahren zur Anerkennung von Kompetenzen, die in anderen Studiengängen oder an anderen Hochschulen erworben worden sind, und von außerhochschulisch erworbenen Kompetenzen sowie</w:t>
      </w:r>
    </w:p>
    <w:p>
      <w:pPr>
        <w:ind w:left="420"/>
      </w:pPr>
      <w:r>
        <w:t xml:space="preserve">12. die Einsicht in die Prüfungsakten nach den einzelnen Prüfungen.</w:t>
      </w:r>
    </w:p>
    <w:p>
      <w:r>
        <w:t xml:space="preserve">(2) Die Prüfungsordnung wird von der Universität der Bundeswehr München auf ihrer Internetseite veröffentlicht.</w:t>
      </w:r>
    </w:p>
    <w:p>
      <w:r>
        <w:rPr>
          <w:color w:val="555555"/>
          <w:sz w:val="17"/>
        </w:rPr>
        <w:t xml:space="preserve">Zitiervorschlag: § 5 MISSAufstV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https://recht.nulegal.eu/gesetze/MISSAufstV/5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