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MISSAufstV — Aufgaben und Verwendungsbereiche</w:t>
      </w:r>
    </w:p>
    <w:p>
      <w:r>
        <w:rPr>
          <w:color w:val="555555"/>
          <w:sz w:val="18"/>
        </w:rPr>
        <w:t xml:space="preserve">Verordnung über den Aufstieg in den höheren nichttechnischen Verwaltungsdienst über den Masterstudiengang „Intelligence and Security Studies“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berufspraktischen Einführung nehmen die Beamtinnen und Beamten Aufgaben des höheren nichttechnischen Verwaltungsdienstes wahr.</w:t>
      </w:r>
    </w:p>
    <w:p>
      <w:r>
        <w:t xml:space="preserve">(2) Die Beamtinnen und Beamten sollen in mindestens zwei Verwendungsbereichen eingesetzt werden, wenn dienstliche Gründe dem nicht entgegenstehen.</w:t>
      </w:r>
    </w:p>
    <w:p>
      <w:r>
        <w:rPr>
          <w:color w:val="555555"/>
          <w:sz w:val="17"/>
        </w:rPr>
        <w:t xml:space="preserve">Zitiervorschlag: § 15 MISSAufstV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https://recht.nulegal.eu/gesetze/MISSAufstV/15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